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9D30" w14:textId="0A8030B9" w:rsidR="00345D30" w:rsidRPr="00541658" w:rsidRDefault="00345D30" w:rsidP="00FE5F55">
      <w:pPr>
        <w:spacing w:line="240" w:lineRule="auto"/>
        <w:jc w:val="center"/>
        <w:rPr>
          <w:rFonts w:ascii="Times New Roman" w:hAnsi="Times New Roman" w:cs="Times New Roman"/>
          <w:sz w:val="24"/>
          <w:szCs w:val="24"/>
          <w:u w:val="single"/>
          <w:lang w:val="en-US"/>
        </w:rPr>
      </w:pPr>
      <w:r w:rsidRPr="00232F37">
        <w:rPr>
          <w:rFonts w:ascii="Times New Roman" w:hAnsi="Times New Roman" w:cs="Times New Roman"/>
          <w:sz w:val="24"/>
          <w:szCs w:val="24"/>
          <w:u w:val="single"/>
          <w:lang w:val="en-US"/>
        </w:rPr>
        <w:t xml:space="preserve">SHORT </w:t>
      </w:r>
      <w:r w:rsidR="001E1351" w:rsidRPr="00232F37">
        <w:rPr>
          <w:rFonts w:ascii="Times New Roman" w:hAnsi="Times New Roman" w:cs="Times New Roman"/>
          <w:sz w:val="24"/>
          <w:szCs w:val="24"/>
          <w:u w:val="single"/>
          <w:lang w:val="en-US"/>
        </w:rPr>
        <w:t>NOTE ON</w:t>
      </w:r>
      <w:r w:rsidRPr="00232F37">
        <w:rPr>
          <w:rFonts w:ascii="Times New Roman" w:hAnsi="Times New Roman" w:cs="Times New Roman"/>
          <w:sz w:val="24"/>
          <w:szCs w:val="24"/>
          <w:u w:val="single"/>
          <w:lang w:val="en-US"/>
        </w:rPr>
        <w:t xml:space="preserve"> </w:t>
      </w:r>
      <w:r w:rsidR="00E66CDC" w:rsidRPr="00541658">
        <w:rPr>
          <w:rFonts w:ascii="Times New Roman" w:hAnsi="Times New Roman" w:cs="Times New Roman"/>
          <w:i/>
          <w:iCs/>
          <w:sz w:val="24"/>
          <w:szCs w:val="24"/>
          <w:u w:val="single"/>
          <w:lang w:val="en-US"/>
        </w:rPr>
        <w:t>ABU ZUBAYDAH V LITHUANIA</w:t>
      </w:r>
      <w:r w:rsidR="00E66CDC" w:rsidRPr="00541658">
        <w:rPr>
          <w:rFonts w:ascii="Times New Roman" w:hAnsi="Times New Roman" w:cs="Times New Roman"/>
          <w:sz w:val="24"/>
          <w:szCs w:val="24"/>
          <w:u w:val="single"/>
          <w:lang w:val="en-US"/>
        </w:rPr>
        <w:t xml:space="preserve"> </w:t>
      </w:r>
      <w:r w:rsidRPr="00541658">
        <w:rPr>
          <w:rFonts w:ascii="Times New Roman" w:hAnsi="Times New Roman" w:cs="Times New Roman"/>
          <w:sz w:val="24"/>
          <w:szCs w:val="24"/>
          <w:u w:val="single"/>
          <w:lang w:val="en-US"/>
        </w:rPr>
        <w:t>JUDGMENT</w:t>
      </w:r>
      <w:r w:rsidR="00FE5F55" w:rsidRPr="00541658">
        <w:rPr>
          <w:rFonts w:ascii="Times New Roman" w:hAnsi="Times New Roman" w:cs="Times New Roman"/>
          <w:sz w:val="24"/>
          <w:szCs w:val="24"/>
          <w:u w:val="single"/>
          <w:lang w:val="en-US"/>
        </w:rPr>
        <w:t xml:space="preserve"> 2018</w:t>
      </w:r>
    </w:p>
    <w:p w14:paraId="22AE097D" w14:textId="30E345B3" w:rsidR="00A866FC" w:rsidRPr="00541658" w:rsidRDefault="00FE5F55" w:rsidP="00FE5F55">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On</w:t>
      </w:r>
      <w:r w:rsidR="00E66CDC" w:rsidRPr="00541658">
        <w:rPr>
          <w:rFonts w:ascii="Times New Roman" w:hAnsi="Times New Roman" w:cs="Times New Roman"/>
          <w:sz w:val="24"/>
          <w:szCs w:val="24"/>
          <w:lang w:val="en-US"/>
        </w:rPr>
        <w:t xml:space="preserve"> </w:t>
      </w:r>
      <w:r w:rsidR="001E1351" w:rsidRPr="00541658">
        <w:rPr>
          <w:rFonts w:ascii="Times New Roman" w:hAnsi="Times New Roman" w:cs="Times New Roman"/>
          <w:sz w:val="24"/>
          <w:szCs w:val="24"/>
          <w:lang w:val="en-US"/>
        </w:rPr>
        <w:t xml:space="preserve">31 May 2018, the European Court of Human Rights </w:t>
      </w:r>
      <w:r w:rsidR="003B0340" w:rsidRPr="00541658">
        <w:rPr>
          <w:rFonts w:ascii="Times New Roman" w:hAnsi="Times New Roman" w:cs="Times New Roman"/>
          <w:sz w:val="24"/>
          <w:szCs w:val="24"/>
          <w:lang w:val="en-US"/>
        </w:rPr>
        <w:t>(</w:t>
      </w:r>
      <w:r w:rsidR="00624982" w:rsidRPr="00541658">
        <w:rPr>
          <w:rFonts w:ascii="Times New Roman" w:hAnsi="Times New Roman" w:cs="Times New Roman"/>
          <w:sz w:val="24"/>
          <w:szCs w:val="24"/>
          <w:lang w:val="en-US"/>
        </w:rPr>
        <w:t>“</w:t>
      </w:r>
      <w:r w:rsidR="001E1351" w:rsidRPr="00541658">
        <w:rPr>
          <w:rFonts w:ascii="Times New Roman" w:hAnsi="Times New Roman" w:cs="Times New Roman"/>
          <w:sz w:val="24"/>
          <w:szCs w:val="24"/>
          <w:lang w:val="en-US"/>
        </w:rPr>
        <w:t>the Court</w:t>
      </w:r>
      <w:r w:rsidR="00624982" w:rsidRPr="00541658">
        <w:rPr>
          <w:rFonts w:ascii="Times New Roman" w:hAnsi="Times New Roman" w:cs="Times New Roman"/>
          <w:sz w:val="24"/>
          <w:szCs w:val="24"/>
          <w:lang w:val="en-US"/>
        </w:rPr>
        <w:t>”</w:t>
      </w:r>
      <w:r w:rsidR="001E1351" w:rsidRPr="00541658">
        <w:rPr>
          <w:rFonts w:ascii="Times New Roman" w:hAnsi="Times New Roman" w:cs="Times New Roman"/>
          <w:sz w:val="24"/>
          <w:szCs w:val="24"/>
          <w:lang w:val="en-US"/>
        </w:rPr>
        <w:t xml:space="preserve">) </w:t>
      </w:r>
      <w:r w:rsidR="00E66CDC" w:rsidRPr="00541658">
        <w:rPr>
          <w:rFonts w:ascii="Times New Roman" w:hAnsi="Times New Roman" w:cs="Times New Roman"/>
          <w:sz w:val="24"/>
          <w:szCs w:val="24"/>
          <w:lang w:val="en-US"/>
        </w:rPr>
        <w:t>issued a</w:t>
      </w:r>
      <w:r w:rsidR="003B0340" w:rsidRPr="00541658">
        <w:rPr>
          <w:rFonts w:ascii="Times New Roman" w:hAnsi="Times New Roman" w:cs="Times New Roman"/>
          <w:sz w:val="24"/>
          <w:szCs w:val="24"/>
          <w:lang w:val="en-US"/>
        </w:rPr>
        <w:t xml:space="preserve"> unanimous</w:t>
      </w:r>
      <w:r w:rsidR="00E66CDC" w:rsidRPr="00541658">
        <w:rPr>
          <w:rFonts w:ascii="Times New Roman" w:hAnsi="Times New Roman" w:cs="Times New Roman"/>
          <w:sz w:val="24"/>
          <w:szCs w:val="24"/>
          <w:lang w:val="en-US"/>
        </w:rPr>
        <w:t xml:space="preserve"> judgment finding </w:t>
      </w:r>
      <w:r w:rsidR="00B249F2" w:rsidRPr="00541658">
        <w:rPr>
          <w:rFonts w:ascii="Times New Roman" w:hAnsi="Times New Roman" w:cs="Times New Roman"/>
          <w:sz w:val="24"/>
          <w:szCs w:val="24"/>
          <w:lang w:val="en-US"/>
        </w:rPr>
        <w:t xml:space="preserve">that Lithuania </w:t>
      </w:r>
      <w:r w:rsidR="001D7C9E" w:rsidRPr="00541658">
        <w:rPr>
          <w:rFonts w:ascii="Times New Roman" w:hAnsi="Times New Roman" w:cs="Times New Roman"/>
          <w:sz w:val="24"/>
          <w:szCs w:val="24"/>
          <w:lang w:val="en-US"/>
        </w:rPr>
        <w:t>wa</w:t>
      </w:r>
      <w:r w:rsidR="00B249F2" w:rsidRPr="00541658">
        <w:rPr>
          <w:rFonts w:ascii="Times New Roman" w:hAnsi="Times New Roman" w:cs="Times New Roman"/>
          <w:sz w:val="24"/>
          <w:szCs w:val="24"/>
          <w:lang w:val="en-US"/>
        </w:rPr>
        <w:t xml:space="preserve">s </w:t>
      </w:r>
      <w:r w:rsidR="001D7C9E" w:rsidRPr="00541658">
        <w:rPr>
          <w:rFonts w:ascii="Times New Roman" w:hAnsi="Times New Roman" w:cs="Times New Roman"/>
          <w:sz w:val="24"/>
          <w:szCs w:val="24"/>
          <w:lang w:val="en-US"/>
        </w:rPr>
        <w:t xml:space="preserve">legally </w:t>
      </w:r>
      <w:r w:rsidR="00B249F2" w:rsidRPr="00541658">
        <w:rPr>
          <w:rFonts w:ascii="Times New Roman" w:hAnsi="Times New Roman" w:cs="Times New Roman"/>
          <w:sz w:val="24"/>
          <w:szCs w:val="24"/>
          <w:lang w:val="en-US"/>
        </w:rPr>
        <w:t xml:space="preserve">responsible for </w:t>
      </w:r>
      <w:r w:rsidR="001E1351" w:rsidRPr="00541658">
        <w:rPr>
          <w:rFonts w:ascii="Times New Roman" w:hAnsi="Times New Roman" w:cs="Times New Roman"/>
          <w:sz w:val="24"/>
          <w:szCs w:val="24"/>
          <w:lang w:val="en-US"/>
        </w:rPr>
        <w:t xml:space="preserve">a series of violations of </w:t>
      </w:r>
      <w:r w:rsidR="00C61FCA" w:rsidRPr="00541658">
        <w:rPr>
          <w:rFonts w:ascii="Times New Roman" w:hAnsi="Times New Roman" w:cs="Times New Roman"/>
          <w:sz w:val="24"/>
          <w:szCs w:val="24"/>
          <w:lang w:val="en-US"/>
        </w:rPr>
        <w:t xml:space="preserve">Abu </w:t>
      </w:r>
      <w:proofErr w:type="spellStart"/>
      <w:r w:rsidR="00C61FCA" w:rsidRPr="00541658">
        <w:rPr>
          <w:rFonts w:ascii="Times New Roman" w:hAnsi="Times New Roman" w:cs="Times New Roman"/>
          <w:sz w:val="24"/>
          <w:szCs w:val="24"/>
          <w:lang w:val="en-US"/>
        </w:rPr>
        <w:t>Zubaydah’s</w:t>
      </w:r>
      <w:proofErr w:type="spellEnd"/>
      <w:r w:rsidR="00C61FCA" w:rsidRPr="00541658">
        <w:rPr>
          <w:rFonts w:ascii="Times New Roman" w:hAnsi="Times New Roman" w:cs="Times New Roman"/>
          <w:sz w:val="24"/>
          <w:szCs w:val="24"/>
          <w:lang w:val="en-US"/>
        </w:rPr>
        <w:t xml:space="preserve"> </w:t>
      </w:r>
      <w:r w:rsidR="001E1351" w:rsidRPr="00541658">
        <w:rPr>
          <w:rFonts w:ascii="Times New Roman" w:hAnsi="Times New Roman" w:cs="Times New Roman"/>
          <w:sz w:val="24"/>
          <w:szCs w:val="24"/>
          <w:lang w:val="en-US"/>
        </w:rPr>
        <w:t>rights: torture and ill treatment, unlawful secret detention, violations of private life</w:t>
      </w:r>
      <w:r w:rsidR="00365386" w:rsidRPr="00541658">
        <w:rPr>
          <w:rFonts w:ascii="Times New Roman" w:hAnsi="Times New Roman" w:cs="Times New Roman"/>
          <w:sz w:val="24"/>
          <w:szCs w:val="24"/>
          <w:lang w:val="en-US"/>
        </w:rPr>
        <w:t xml:space="preserve">, </w:t>
      </w:r>
      <w:r w:rsidR="00E66CDC" w:rsidRPr="00541658">
        <w:rPr>
          <w:rFonts w:ascii="Times New Roman" w:hAnsi="Times New Roman" w:cs="Times New Roman"/>
          <w:sz w:val="24"/>
          <w:szCs w:val="24"/>
          <w:lang w:val="en-US"/>
        </w:rPr>
        <w:t xml:space="preserve">and the failure to investigate </w:t>
      </w:r>
      <w:r w:rsidRPr="00541658">
        <w:rPr>
          <w:rFonts w:ascii="Times New Roman" w:hAnsi="Times New Roman" w:cs="Times New Roman"/>
          <w:sz w:val="24"/>
          <w:szCs w:val="24"/>
          <w:lang w:val="en-US"/>
        </w:rPr>
        <w:t>or</w:t>
      </w:r>
      <w:r w:rsidR="001E1351" w:rsidRPr="00541658">
        <w:rPr>
          <w:rFonts w:ascii="Times New Roman" w:hAnsi="Times New Roman" w:cs="Times New Roman"/>
          <w:sz w:val="24"/>
          <w:szCs w:val="24"/>
          <w:lang w:val="en-US"/>
        </w:rPr>
        <w:t xml:space="preserve"> </w:t>
      </w:r>
      <w:r w:rsidR="00E66CDC" w:rsidRPr="00541658">
        <w:rPr>
          <w:rFonts w:ascii="Times New Roman" w:hAnsi="Times New Roman" w:cs="Times New Roman"/>
          <w:sz w:val="24"/>
          <w:szCs w:val="24"/>
          <w:lang w:val="en-US"/>
        </w:rPr>
        <w:t xml:space="preserve">provide </w:t>
      </w:r>
      <w:r w:rsidR="001E1351" w:rsidRPr="00541658">
        <w:rPr>
          <w:rFonts w:ascii="Times New Roman" w:hAnsi="Times New Roman" w:cs="Times New Roman"/>
          <w:sz w:val="24"/>
          <w:szCs w:val="24"/>
          <w:lang w:val="en-US"/>
        </w:rPr>
        <w:t>a remedy</w:t>
      </w:r>
      <w:r w:rsidR="00E66CDC" w:rsidRPr="00541658">
        <w:rPr>
          <w:rFonts w:ascii="Times New Roman" w:hAnsi="Times New Roman" w:cs="Times New Roman"/>
          <w:sz w:val="24"/>
          <w:szCs w:val="24"/>
          <w:lang w:val="en-US"/>
        </w:rPr>
        <w:t xml:space="preserve">. </w:t>
      </w:r>
      <w:r w:rsidR="001E1351" w:rsidRPr="00541658">
        <w:rPr>
          <w:rFonts w:ascii="Times New Roman" w:hAnsi="Times New Roman" w:cs="Times New Roman"/>
          <w:sz w:val="24"/>
          <w:szCs w:val="24"/>
          <w:lang w:val="en-US"/>
        </w:rPr>
        <w:t>The case concern</w:t>
      </w:r>
      <w:r w:rsidR="005314F3" w:rsidRPr="00541658">
        <w:rPr>
          <w:rFonts w:ascii="Times New Roman" w:hAnsi="Times New Roman" w:cs="Times New Roman"/>
          <w:sz w:val="24"/>
          <w:szCs w:val="24"/>
          <w:lang w:val="en-US"/>
        </w:rPr>
        <w:t>ed</w:t>
      </w:r>
      <w:r w:rsidR="001E1351" w:rsidRPr="00541658">
        <w:rPr>
          <w:rFonts w:ascii="Times New Roman" w:hAnsi="Times New Roman" w:cs="Times New Roman"/>
          <w:sz w:val="24"/>
          <w:szCs w:val="24"/>
          <w:lang w:val="en-US"/>
        </w:rPr>
        <w:t xml:space="preserve"> the Lithuania</w:t>
      </w:r>
      <w:r w:rsidR="005314F3" w:rsidRPr="00541658">
        <w:rPr>
          <w:rFonts w:ascii="Times New Roman" w:hAnsi="Times New Roman" w:cs="Times New Roman"/>
          <w:sz w:val="24"/>
          <w:szCs w:val="24"/>
          <w:lang w:val="en-US"/>
        </w:rPr>
        <w:t>n</w:t>
      </w:r>
      <w:r w:rsidR="001E1351"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role </w:t>
      </w:r>
      <w:r w:rsidR="001E1351" w:rsidRPr="00541658">
        <w:rPr>
          <w:rFonts w:ascii="Times New Roman" w:hAnsi="Times New Roman" w:cs="Times New Roman"/>
          <w:sz w:val="24"/>
          <w:szCs w:val="24"/>
          <w:lang w:val="en-US"/>
        </w:rPr>
        <w:t xml:space="preserve">in housing a “black site” for the secret detention of “high value detainees” as part of the notorious CIA-led </w:t>
      </w:r>
      <w:r w:rsidR="004C5247" w:rsidRPr="00541658">
        <w:rPr>
          <w:rFonts w:ascii="Times New Roman" w:hAnsi="Times New Roman" w:cs="Times New Roman"/>
          <w:sz w:val="24"/>
          <w:szCs w:val="24"/>
          <w:lang w:val="en-US"/>
        </w:rPr>
        <w:t xml:space="preserve">extraordinary </w:t>
      </w:r>
      <w:r w:rsidR="001E1351" w:rsidRPr="00541658">
        <w:rPr>
          <w:rFonts w:ascii="Times New Roman" w:hAnsi="Times New Roman" w:cs="Times New Roman"/>
          <w:sz w:val="24"/>
          <w:szCs w:val="24"/>
          <w:lang w:val="en-US"/>
        </w:rPr>
        <w:t xml:space="preserve">rendition and torture </w:t>
      </w:r>
      <w:proofErr w:type="spellStart"/>
      <w:r w:rsidR="001E1351" w:rsidRPr="00541658">
        <w:rPr>
          <w:rFonts w:ascii="Times New Roman" w:hAnsi="Times New Roman" w:cs="Times New Roman"/>
          <w:sz w:val="24"/>
          <w:szCs w:val="24"/>
          <w:lang w:val="en-US"/>
        </w:rPr>
        <w:t>programme</w:t>
      </w:r>
      <w:proofErr w:type="spellEnd"/>
      <w:r w:rsidR="00E66CDC" w:rsidRPr="00541658">
        <w:rPr>
          <w:rFonts w:ascii="Times New Roman" w:hAnsi="Times New Roman" w:cs="Times New Roman"/>
          <w:sz w:val="24"/>
          <w:szCs w:val="24"/>
          <w:lang w:val="en-US"/>
        </w:rPr>
        <w:t xml:space="preserve"> (</w:t>
      </w:r>
      <w:r w:rsidR="00624982" w:rsidRPr="00541658">
        <w:rPr>
          <w:rFonts w:ascii="Times New Roman" w:hAnsi="Times New Roman" w:cs="Times New Roman"/>
          <w:sz w:val="24"/>
          <w:szCs w:val="24"/>
          <w:lang w:val="en-US"/>
        </w:rPr>
        <w:t>“</w:t>
      </w:r>
      <w:r w:rsidR="00E66CDC" w:rsidRPr="00541658">
        <w:rPr>
          <w:rFonts w:ascii="Times New Roman" w:hAnsi="Times New Roman" w:cs="Times New Roman"/>
          <w:sz w:val="24"/>
          <w:szCs w:val="24"/>
          <w:lang w:val="en-US"/>
        </w:rPr>
        <w:t>ERP</w:t>
      </w:r>
      <w:r w:rsidR="00624982" w:rsidRPr="00541658">
        <w:rPr>
          <w:rFonts w:ascii="Times New Roman" w:hAnsi="Times New Roman" w:cs="Times New Roman"/>
          <w:sz w:val="24"/>
          <w:szCs w:val="24"/>
          <w:lang w:val="en-US"/>
        </w:rPr>
        <w:t>”</w:t>
      </w:r>
      <w:r w:rsidR="00E66CDC" w:rsidRPr="00541658">
        <w:rPr>
          <w:rFonts w:ascii="Times New Roman" w:hAnsi="Times New Roman" w:cs="Times New Roman"/>
          <w:sz w:val="24"/>
          <w:szCs w:val="24"/>
          <w:lang w:val="en-US"/>
        </w:rPr>
        <w:t>)</w:t>
      </w:r>
      <w:r w:rsidR="001E1351" w:rsidRPr="00541658">
        <w:rPr>
          <w:rFonts w:ascii="Times New Roman" w:hAnsi="Times New Roman" w:cs="Times New Roman"/>
          <w:sz w:val="24"/>
          <w:szCs w:val="24"/>
          <w:lang w:val="en-US"/>
        </w:rPr>
        <w:t xml:space="preserve">. Lithuania was the last </w:t>
      </w:r>
      <w:r w:rsidR="00C61FCA" w:rsidRPr="00541658">
        <w:rPr>
          <w:rFonts w:ascii="Times New Roman" w:hAnsi="Times New Roman" w:cs="Times New Roman"/>
          <w:sz w:val="24"/>
          <w:szCs w:val="24"/>
          <w:lang w:val="en-US"/>
        </w:rPr>
        <w:t xml:space="preserve">European </w:t>
      </w:r>
      <w:r w:rsidR="001E1351" w:rsidRPr="00541658">
        <w:rPr>
          <w:rFonts w:ascii="Times New Roman" w:hAnsi="Times New Roman" w:cs="Times New Roman"/>
          <w:sz w:val="24"/>
          <w:szCs w:val="24"/>
          <w:lang w:val="en-US"/>
        </w:rPr>
        <w:t xml:space="preserve">state to allow the CIA to operate such a </w:t>
      </w:r>
      <w:proofErr w:type="spellStart"/>
      <w:r w:rsidR="001E1351" w:rsidRPr="00541658">
        <w:rPr>
          <w:rFonts w:ascii="Times New Roman" w:hAnsi="Times New Roman" w:cs="Times New Roman"/>
          <w:sz w:val="24"/>
          <w:szCs w:val="24"/>
          <w:lang w:val="en-US"/>
        </w:rPr>
        <w:t>centre</w:t>
      </w:r>
      <w:proofErr w:type="spellEnd"/>
      <w:r w:rsidR="001E1351" w:rsidRPr="00541658">
        <w:rPr>
          <w:rFonts w:ascii="Times New Roman" w:hAnsi="Times New Roman" w:cs="Times New Roman"/>
          <w:sz w:val="24"/>
          <w:szCs w:val="24"/>
          <w:lang w:val="en-US"/>
        </w:rPr>
        <w:t xml:space="preserve"> on its territory</w:t>
      </w:r>
      <w:r w:rsidR="005314F3" w:rsidRPr="00541658">
        <w:rPr>
          <w:rFonts w:ascii="Times New Roman" w:hAnsi="Times New Roman" w:cs="Times New Roman"/>
          <w:sz w:val="24"/>
          <w:szCs w:val="24"/>
          <w:lang w:val="en-US"/>
        </w:rPr>
        <w:t xml:space="preserve"> </w:t>
      </w:r>
      <w:r w:rsidR="00C61FCA" w:rsidRPr="00541658">
        <w:rPr>
          <w:rFonts w:ascii="Times New Roman" w:hAnsi="Times New Roman" w:cs="Times New Roman"/>
          <w:sz w:val="24"/>
          <w:szCs w:val="24"/>
          <w:lang w:val="en-US"/>
        </w:rPr>
        <w:t>from</w:t>
      </w:r>
      <w:r w:rsidR="001E1351" w:rsidRPr="00541658">
        <w:rPr>
          <w:rFonts w:ascii="Times New Roman" w:hAnsi="Times New Roman" w:cs="Times New Roman"/>
          <w:sz w:val="24"/>
          <w:szCs w:val="24"/>
          <w:lang w:val="en-US"/>
        </w:rPr>
        <w:t xml:space="preserve"> 2005</w:t>
      </w:r>
      <w:r w:rsidR="005314F3" w:rsidRPr="00541658">
        <w:rPr>
          <w:rFonts w:ascii="Times New Roman" w:hAnsi="Times New Roman" w:cs="Times New Roman"/>
          <w:sz w:val="24"/>
          <w:szCs w:val="24"/>
          <w:lang w:val="en-US"/>
        </w:rPr>
        <w:t xml:space="preserve"> to </w:t>
      </w:r>
      <w:r w:rsidR="001E1351" w:rsidRPr="00541658">
        <w:rPr>
          <w:rFonts w:ascii="Times New Roman" w:hAnsi="Times New Roman" w:cs="Times New Roman"/>
          <w:sz w:val="24"/>
          <w:szCs w:val="24"/>
          <w:lang w:val="en-US"/>
        </w:rPr>
        <w:t>2006</w:t>
      </w:r>
      <w:r w:rsidRPr="00541658">
        <w:rPr>
          <w:rFonts w:ascii="Times New Roman" w:hAnsi="Times New Roman" w:cs="Times New Roman"/>
          <w:sz w:val="24"/>
          <w:szCs w:val="24"/>
          <w:lang w:val="en-US"/>
        </w:rPr>
        <w:t>, and one of an estimated 57 states to have participated</w:t>
      </w:r>
      <w:r w:rsidR="00D73622">
        <w:rPr>
          <w:rFonts w:ascii="Times New Roman" w:hAnsi="Times New Roman" w:cs="Times New Roman"/>
          <w:sz w:val="24"/>
          <w:szCs w:val="24"/>
          <w:lang w:val="en-US"/>
        </w:rPr>
        <w:t xml:space="preserve"> in the ERP</w:t>
      </w:r>
      <w:r w:rsidR="00C61FCA" w:rsidRPr="00541658">
        <w:rPr>
          <w:rFonts w:ascii="Times New Roman" w:hAnsi="Times New Roman" w:cs="Times New Roman"/>
          <w:sz w:val="24"/>
          <w:szCs w:val="24"/>
          <w:lang w:val="en-US"/>
        </w:rPr>
        <w:t xml:space="preserve">. </w:t>
      </w:r>
    </w:p>
    <w:p w14:paraId="09AECC17" w14:textId="51A05D65" w:rsidR="001E1351" w:rsidRPr="00541658" w:rsidRDefault="00E66CDC" w:rsidP="00AB24FA">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The case was brought on behalf of t</w:t>
      </w:r>
      <w:r w:rsidR="001E1351" w:rsidRPr="00541658">
        <w:rPr>
          <w:rFonts w:ascii="Times New Roman" w:hAnsi="Times New Roman" w:cs="Times New Roman"/>
          <w:sz w:val="24"/>
          <w:szCs w:val="24"/>
          <w:lang w:val="en-US"/>
        </w:rPr>
        <w:t>he first victim of th</w:t>
      </w:r>
      <w:r w:rsidRPr="00541658">
        <w:rPr>
          <w:rFonts w:ascii="Times New Roman" w:hAnsi="Times New Roman" w:cs="Times New Roman"/>
          <w:sz w:val="24"/>
          <w:szCs w:val="24"/>
          <w:lang w:val="en-US"/>
        </w:rPr>
        <w:t xml:space="preserve">e ERP, who has been described by a former interrogator as the </w:t>
      </w:r>
      <w:r w:rsidR="00624982"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guinea pig</w:t>
      </w:r>
      <w:r w:rsidR="00624982"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 xml:space="preserve"> for the development of </w:t>
      </w:r>
      <w:r w:rsidR="00624982"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enhanced interrogation</w:t>
      </w:r>
      <w:r w:rsidR="00624982"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 xml:space="preserve"> techniques</w:t>
      </w:r>
      <w:r w:rsidR="00232F37" w:rsidRPr="00541658">
        <w:rPr>
          <w:rFonts w:ascii="Times New Roman" w:hAnsi="Times New Roman" w:cs="Times New Roman"/>
          <w:sz w:val="24"/>
          <w:szCs w:val="24"/>
          <w:lang w:val="en-US"/>
        </w:rPr>
        <w:t xml:space="preserve"> </w:t>
      </w:r>
      <w:r w:rsidR="009849C3">
        <w:rPr>
          <w:rFonts w:ascii="Times New Roman" w:hAnsi="Times New Roman" w:cs="Times New Roman"/>
          <w:sz w:val="24"/>
          <w:szCs w:val="24"/>
          <w:lang w:val="en-US"/>
        </w:rPr>
        <w:t xml:space="preserve">and </w:t>
      </w:r>
      <w:r w:rsidR="00232F37" w:rsidRPr="00541658">
        <w:rPr>
          <w:rFonts w:ascii="Times New Roman" w:hAnsi="Times New Roman" w:cs="Times New Roman"/>
          <w:sz w:val="24"/>
          <w:szCs w:val="24"/>
          <w:lang w:val="en-US"/>
        </w:rPr>
        <w:t xml:space="preserve">whose brutal torture in the </w:t>
      </w:r>
      <w:proofErr w:type="spellStart"/>
      <w:r w:rsidR="00232F37" w:rsidRPr="00541658">
        <w:rPr>
          <w:rFonts w:ascii="Times New Roman" w:hAnsi="Times New Roman" w:cs="Times New Roman"/>
          <w:sz w:val="24"/>
          <w:szCs w:val="24"/>
          <w:lang w:val="en-US"/>
        </w:rPr>
        <w:t>programme</w:t>
      </w:r>
      <w:proofErr w:type="spellEnd"/>
      <w:r w:rsidR="00232F37" w:rsidRPr="00541658">
        <w:rPr>
          <w:rFonts w:ascii="Times New Roman" w:hAnsi="Times New Roman" w:cs="Times New Roman"/>
          <w:sz w:val="24"/>
          <w:szCs w:val="24"/>
          <w:lang w:val="en-US"/>
        </w:rPr>
        <w:t xml:space="preserve"> is well documented</w:t>
      </w:r>
      <w:r w:rsidRPr="00541658">
        <w:rPr>
          <w:rFonts w:ascii="Times New Roman" w:hAnsi="Times New Roman" w:cs="Times New Roman"/>
          <w:sz w:val="24"/>
          <w:szCs w:val="24"/>
          <w:lang w:val="en-US"/>
        </w:rPr>
        <w:t>. C</w:t>
      </w:r>
      <w:r w:rsidR="001E1351" w:rsidRPr="00541658">
        <w:rPr>
          <w:rFonts w:ascii="Times New Roman" w:hAnsi="Times New Roman" w:cs="Times New Roman"/>
          <w:sz w:val="24"/>
          <w:szCs w:val="24"/>
          <w:lang w:val="en-US"/>
        </w:rPr>
        <w:t xml:space="preserve">aptured </w:t>
      </w:r>
      <w:r w:rsidR="00624982" w:rsidRPr="00541658">
        <w:rPr>
          <w:rFonts w:ascii="Times New Roman" w:hAnsi="Times New Roman" w:cs="Times New Roman"/>
          <w:sz w:val="24"/>
          <w:szCs w:val="24"/>
          <w:lang w:val="en-US"/>
        </w:rPr>
        <w:t>i</w:t>
      </w:r>
      <w:r w:rsidR="001E1351" w:rsidRPr="00541658">
        <w:rPr>
          <w:rFonts w:ascii="Times New Roman" w:hAnsi="Times New Roman" w:cs="Times New Roman"/>
          <w:sz w:val="24"/>
          <w:szCs w:val="24"/>
          <w:lang w:val="en-US"/>
        </w:rPr>
        <w:t>n Pakistan in 2002</w:t>
      </w:r>
      <w:r w:rsidRPr="00541658">
        <w:rPr>
          <w:rFonts w:ascii="Times New Roman" w:hAnsi="Times New Roman" w:cs="Times New Roman"/>
          <w:sz w:val="24"/>
          <w:szCs w:val="24"/>
          <w:lang w:val="en-US"/>
        </w:rPr>
        <w:t xml:space="preserve">, he was </w:t>
      </w:r>
      <w:r w:rsidR="001E1351" w:rsidRPr="00541658">
        <w:rPr>
          <w:rFonts w:ascii="Times New Roman" w:hAnsi="Times New Roman" w:cs="Times New Roman"/>
          <w:sz w:val="24"/>
          <w:szCs w:val="24"/>
          <w:lang w:val="en-US"/>
        </w:rPr>
        <w:t xml:space="preserve">transferred to </w:t>
      </w:r>
      <w:r w:rsidR="005314F3" w:rsidRPr="00541658">
        <w:rPr>
          <w:rFonts w:ascii="Times New Roman" w:hAnsi="Times New Roman" w:cs="Times New Roman"/>
          <w:sz w:val="24"/>
          <w:szCs w:val="24"/>
          <w:lang w:val="en-US"/>
        </w:rPr>
        <w:t xml:space="preserve">a </w:t>
      </w:r>
      <w:r w:rsidR="007522C8" w:rsidRPr="00541658">
        <w:rPr>
          <w:rFonts w:ascii="Times New Roman" w:hAnsi="Times New Roman" w:cs="Times New Roman"/>
          <w:sz w:val="24"/>
          <w:szCs w:val="24"/>
          <w:lang w:val="en-US"/>
        </w:rPr>
        <w:t xml:space="preserve">black site in </w:t>
      </w:r>
      <w:r w:rsidR="001E1351" w:rsidRPr="00541658">
        <w:rPr>
          <w:rFonts w:ascii="Times New Roman" w:hAnsi="Times New Roman" w:cs="Times New Roman"/>
          <w:sz w:val="24"/>
          <w:szCs w:val="24"/>
          <w:lang w:val="en-US"/>
        </w:rPr>
        <w:t xml:space="preserve">Thailand, and from there </w:t>
      </w:r>
      <w:r w:rsidR="00AE2401" w:rsidRPr="00541658">
        <w:rPr>
          <w:rFonts w:ascii="Times New Roman" w:hAnsi="Times New Roman" w:cs="Times New Roman"/>
          <w:sz w:val="24"/>
          <w:szCs w:val="24"/>
          <w:lang w:val="en-US"/>
        </w:rPr>
        <w:t xml:space="preserve">consecutively </w:t>
      </w:r>
      <w:r w:rsidR="004C5247" w:rsidRPr="00541658">
        <w:rPr>
          <w:rFonts w:ascii="Times New Roman" w:hAnsi="Times New Roman" w:cs="Times New Roman"/>
          <w:sz w:val="24"/>
          <w:szCs w:val="24"/>
          <w:lang w:val="en-US"/>
        </w:rPr>
        <w:t xml:space="preserve">moved </w:t>
      </w:r>
      <w:r w:rsidR="001E1351" w:rsidRPr="00541658">
        <w:rPr>
          <w:rFonts w:ascii="Times New Roman" w:hAnsi="Times New Roman" w:cs="Times New Roman"/>
          <w:sz w:val="24"/>
          <w:szCs w:val="24"/>
          <w:lang w:val="en-US"/>
        </w:rPr>
        <w:t>to Poland, Morocco</w:t>
      </w:r>
      <w:r w:rsidR="007522C8" w:rsidRPr="00541658">
        <w:rPr>
          <w:rFonts w:ascii="Times New Roman" w:hAnsi="Times New Roman" w:cs="Times New Roman"/>
          <w:sz w:val="24"/>
          <w:szCs w:val="24"/>
          <w:lang w:val="en-US"/>
        </w:rPr>
        <w:t xml:space="preserve">, Guantanamo, Lithuania, Afghanistan </w:t>
      </w:r>
      <w:r w:rsidR="001E1351" w:rsidRPr="00541658">
        <w:rPr>
          <w:rFonts w:ascii="Times New Roman" w:hAnsi="Times New Roman" w:cs="Times New Roman"/>
          <w:sz w:val="24"/>
          <w:szCs w:val="24"/>
          <w:lang w:val="en-US"/>
        </w:rPr>
        <w:t>and</w:t>
      </w:r>
      <w:r w:rsidRPr="00541658">
        <w:rPr>
          <w:rFonts w:ascii="Times New Roman" w:hAnsi="Times New Roman" w:cs="Times New Roman"/>
          <w:sz w:val="24"/>
          <w:szCs w:val="24"/>
          <w:lang w:val="en-US"/>
        </w:rPr>
        <w:t xml:space="preserve"> finally </w:t>
      </w:r>
      <w:r w:rsidR="005314F3" w:rsidRPr="00541658">
        <w:rPr>
          <w:rFonts w:ascii="Times New Roman" w:hAnsi="Times New Roman" w:cs="Times New Roman"/>
          <w:sz w:val="24"/>
          <w:szCs w:val="24"/>
          <w:lang w:val="en-US"/>
        </w:rPr>
        <w:t xml:space="preserve">back </w:t>
      </w:r>
      <w:r w:rsidRPr="00541658">
        <w:rPr>
          <w:rFonts w:ascii="Times New Roman" w:hAnsi="Times New Roman" w:cs="Times New Roman"/>
          <w:sz w:val="24"/>
          <w:szCs w:val="24"/>
          <w:lang w:val="en-US"/>
        </w:rPr>
        <w:t xml:space="preserve">to </w:t>
      </w:r>
      <w:r w:rsidR="007522C8" w:rsidRPr="00541658">
        <w:rPr>
          <w:rFonts w:ascii="Times New Roman" w:hAnsi="Times New Roman" w:cs="Times New Roman"/>
          <w:sz w:val="24"/>
          <w:szCs w:val="24"/>
          <w:lang w:val="en-US"/>
        </w:rPr>
        <w:t>Guantanamo</w:t>
      </w:r>
      <w:r w:rsidRPr="00541658">
        <w:rPr>
          <w:rFonts w:ascii="Times New Roman" w:hAnsi="Times New Roman" w:cs="Times New Roman"/>
          <w:sz w:val="24"/>
          <w:szCs w:val="24"/>
          <w:lang w:val="en-US"/>
        </w:rPr>
        <w:t xml:space="preserve"> in 2006. </w:t>
      </w:r>
      <w:r w:rsidR="004C5247" w:rsidRPr="00541658">
        <w:rPr>
          <w:rFonts w:ascii="Times New Roman" w:hAnsi="Times New Roman" w:cs="Times New Roman"/>
          <w:sz w:val="24"/>
          <w:szCs w:val="24"/>
          <w:lang w:val="en-US"/>
        </w:rPr>
        <w:t>One of the so-called “forever prisoners,” h</w:t>
      </w:r>
      <w:r w:rsidRPr="00541658">
        <w:rPr>
          <w:rFonts w:ascii="Times New Roman" w:hAnsi="Times New Roman" w:cs="Times New Roman"/>
          <w:sz w:val="24"/>
          <w:szCs w:val="24"/>
          <w:lang w:val="en-US"/>
        </w:rPr>
        <w:t>e has</w:t>
      </w:r>
      <w:r w:rsidR="007522C8" w:rsidRPr="00541658">
        <w:rPr>
          <w:rFonts w:ascii="Times New Roman" w:hAnsi="Times New Roman" w:cs="Times New Roman"/>
          <w:sz w:val="24"/>
          <w:szCs w:val="24"/>
          <w:lang w:val="en-US"/>
        </w:rPr>
        <w:t xml:space="preserve"> been held</w:t>
      </w:r>
      <w:r w:rsidRPr="00541658">
        <w:rPr>
          <w:rFonts w:ascii="Times New Roman" w:hAnsi="Times New Roman" w:cs="Times New Roman"/>
          <w:sz w:val="24"/>
          <w:szCs w:val="24"/>
          <w:lang w:val="en-US"/>
        </w:rPr>
        <w:t xml:space="preserve"> in arbitrary detention</w:t>
      </w:r>
      <w:r w:rsidR="004C5247"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 xml:space="preserve"> </w:t>
      </w:r>
      <w:r w:rsidR="007522C8" w:rsidRPr="00541658">
        <w:rPr>
          <w:rFonts w:ascii="Times New Roman" w:hAnsi="Times New Roman" w:cs="Times New Roman"/>
          <w:sz w:val="24"/>
          <w:szCs w:val="24"/>
          <w:lang w:val="en-US"/>
        </w:rPr>
        <w:t>with</w:t>
      </w:r>
      <w:r w:rsidRPr="00541658">
        <w:rPr>
          <w:rFonts w:ascii="Times New Roman" w:hAnsi="Times New Roman" w:cs="Times New Roman"/>
          <w:sz w:val="24"/>
          <w:szCs w:val="24"/>
          <w:lang w:val="en-US"/>
        </w:rPr>
        <w:t>out habeas review,</w:t>
      </w:r>
      <w:r w:rsidR="007522C8" w:rsidRPr="00541658">
        <w:rPr>
          <w:rFonts w:ascii="Times New Roman" w:hAnsi="Times New Roman" w:cs="Times New Roman"/>
          <w:sz w:val="24"/>
          <w:szCs w:val="24"/>
          <w:lang w:val="en-US"/>
        </w:rPr>
        <w:t xml:space="preserve"> charge</w:t>
      </w:r>
      <w:r w:rsidR="004C5247" w:rsidRPr="00541658">
        <w:rPr>
          <w:rFonts w:ascii="Times New Roman" w:hAnsi="Times New Roman" w:cs="Times New Roman"/>
          <w:sz w:val="24"/>
          <w:szCs w:val="24"/>
          <w:lang w:val="en-US"/>
        </w:rPr>
        <w:t>,</w:t>
      </w:r>
      <w:r w:rsidR="007522C8" w:rsidRPr="00541658">
        <w:rPr>
          <w:rFonts w:ascii="Times New Roman" w:hAnsi="Times New Roman" w:cs="Times New Roman"/>
          <w:sz w:val="24"/>
          <w:szCs w:val="24"/>
          <w:lang w:val="en-US"/>
        </w:rPr>
        <w:t xml:space="preserve"> or trial </w:t>
      </w:r>
      <w:r w:rsidRPr="00541658">
        <w:rPr>
          <w:rFonts w:ascii="Times New Roman" w:hAnsi="Times New Roman" w:cs="Times New Roman"/>
          <w:sz w:val="24"/>
          <w:szCs w:val="24"/>
          <w:lang w:val="en-US"/>
        </w:rPr>
        <w:t xml:space="preserve">ever </w:t>
      </w:r>
      <w:r w:rsidR="007522C8" w:rsidRPr="00541658">
        <w:rPr>
          <w:rFonts w:ascii="Times New Roman" w:hAnsi="Times New Roman" w:cs="Times New Roman"/>
          <w:sz w:val="24"/>
          <w:szCs w:val="24"/>
          <w:lang w:val="en-US"/>
        </w:rPr>
        <w:t>since</w:t>
      </w:r>
      <w:r w:rsidR="004C5247" w:rsidRPr="00541658">
        <w:rPr>
          <w:rFonts w:ascii="Times New Roman" w:hAnsi="Times New Roman" w:cs="Times New Roman"/>
          <w:sz w:val="24"/>
          <w:szCs w:val="24"/>
          <w:lang w:val="en-US"/>
        </w:rPr>
        <w:t xml:space="preserve">. </w:t>
      </w:r>
    </w:p>
    <w:p w14:paraId="11D8535E" w14:textId="77777777" w:rsidR="00055521" w:rsidRPr="00541658" w:rsidRDefault="00055521" w:rsidP="00AE68B2">
      <w:pPr>
        <w:spacing w:line="240" w:lineRule="auto"/>
        <w:jc w:val="both"/>
        <w:rPr>
          <w:rFonts w:ascii="Times New Roman" w:hAnsi="Times New Roman" w:cs="Times New Roman"/>
          <w:sz w:val="24"/>
          <w:szCs w:val="24"/>
          <w:u w:val="single"/>
          <w:lang w:val="en-US"/>
        </w:rPr>
      </w:pPr>
      <w:r w:rsidRPr="00541658">
        <w:rPr>
          <w:rFonts w:ascii="Times New Roman" w:hAnsi="Times New Roman" w:cs="Times New Roman"/>
          <w:sz w:val="24"/>
          <w:szCs w:val="24"/>
          <w:u w:val="single"/>
          <w:lang w:val="en-US"/>
        </w:rPr>
        <w:t>The Facts as Established by the Court</w:t>
      </w:r>
    </w:p>
    <w:p w14:paraId="3302FBCA" w14:textId="067CB1A6" w:rsidR="00720FED" w:rsidRPr="00541658" w:rsidRDefault="003B0340" w:rsidP="004F3BC1">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The judgment</w:t>
      </w:r>
      <w:r w:rsidR="00720FED" w:rsidRPr="00541658">
        <w:rPr>
          <w:rFonts w:ascii="Times New Roman" w:hAnsi="Times New Roman" w:cs="Times New Roman"/>
          <w:sz w:val="24"/>
          <w:szCs w:val="24"/>
          <w:lang w:val="en-US"/>
        </w:rPr>
        <w:t xml:space="preserve"> focused on Lithuanian responsibility</w:t>
      </w:r>
      <w:r w:rsidR="006A582B">
        <w:rPr>
          <w:rFonts w:ascii="Times New Roman" w:hAnsi="Times New Roman" w:cs="Times New Roman"/>
          <w:sz w:val="24"/>
          <w:szCs w:val="24"/>
          <w:lang w:val="en-US"/>
        </w:rPr>
        <w:t>;</w:t>
      </w:r>
      <w:r w:rsidR="00720FED"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however, </w:t>
      </w:r>
      <w:r w:rsidR="00720FED" w:rsidRPr="00541658">
        <w:rPr>
          <w:rFonts w:ascii="Times New Roman" w:hAnsi="Times New Roman" w:cs="Times New Roman"/>
          <w:sz w:val="24"/>
          <w:szCs w:val="24"/>
          <w:lang w:val="en-US"/>
        </w:rPr>
        <w:t>i</w:t>
      </w:r>
      <w:r w:rsidR="00B249F2" w:rsidRPr="00541658">
        <w:rPr>
          <w:rFonts w:ascii="Times New Roman" w:hAnsi="Times New Roman" w:cs="Times New Roman"/>
          <w:sz w:val="24"/>
          <w:szCs w:val="24"/>
          <w:lang w:val="en-US"/>
        </w:rPr>
        <w:t xml:space="preserve">n an unusually long and detailed </w:t>
      </w:r>
      <w:r w:rsidR="00F20550" w:rsidRPr="00541658">
        <w:rPr>
          <w:rFonts w:ascii="Times New Roman" w:hAnsi="Times New Roman" w:cs="Times New Roman"/>
          <w:sz w:val="24"/>
          <w:szCs w:val="24"/>
          <w:lang w:val="en-US"/>
        </w:rPr>
        <w:t xml:space="preserve">judgment the Court </w:t>
      </w:r>
      <w:r w:rsidRPr="00541658">
        <w:rPr>
          <w:rFonts w:ascii="Times New Roman" w:hAnsi="Times New Roman" w:cs="Times New Roman"/>
          <w:sz w:val="24"/>
          <w:szCs w:val="24"/>
          <w:lang w:val="en-US"/>
        </w:rPr>
        <w:t xml:space="preserve">also </w:t>
      </w:r>
      <w:r w:rsidR="00F20550" w:rsidRPr="00541658">
        <w:rPr>
          <w:rFonts w:ascii="Times New Roman" w:hAnsi="Times New Roman" w:cs="Times New Roman"/>
          <w:sz w:val="24"/>
          <w:szCs w:val="24"/>
          <w:lang w:val="en-US"/>
        </w:rPr>
        <w:t>provide</w:t>
      </w:r>
      <w:r w:rsidRPr="00541658">
        <w:rPr>
          <w:rFonts w:ascii="Times New Roman" w:hAnsi="Times New Roman" w:cs="Times New Roman"/>
          <w:sz w:val="24"/>
          <w:szCs w:val="24"/>
          <w:lang w:val="en-US"/>
        </w:rPr>
        <w:t>d</w:t>
      </w:r>
      <w:r w:rsidR="00F20550" w:rsidRPr="00541658">
        <w:rPr>
          <w:rFonts w:ascii="Times New Roman" w:hAnsi="Times New Roman" w:cs="Times New Roman"/>
          <w:sz w:val="24"/>
          <w:szCs w:val="24"/>
          <w:lang w:val="en-US"/>
        </w:rPr>
        <w:t xml:space="preserve"> a </w:t>
      </w:r>
      <w:r w:rsidR="004C5247" w:rsidRPr="00541658">
        <w:rPr>
          <w:rFonts w:ascii="Times New Roman" w:hAnsi="Times New Roman" w:cs="Times New Roman"/>
          <w:sz w:val="24"/>
          <w:szCs w:val="24"/>
          <w:lang w:val="en-US"/>
        </w:rPr>
        <w:t>comprehensive</w:t>
      </w:r>
      <w:r w:rsidR="005314F3" w:rsidRPr="00541658">
        <w:rPr>
          <w:rFonts w:ascii="Times New Roman" w:hAnsi="Times New Roman" w:cs="Times New Roman"/>
          <w:sz w:val="24"/>
          <w:szCs w:val="24"/>
          <w:lang w:val="en-US"/>
        </w:rPr>
        <w:t xml:space="preserve"> </w:t>
      </w:r>
      <w:r w:rsidR="00B249F2" w:rsidRPr="00541658">
        <w:rPr>
          <w:rFonts w:ascii="Times New Roman" w:hAnsi="Times New Roman" w:cs="Times New Roman"/>
          <w:sz w:val="24"/>
          <w:szCs w:val="24"/>
          <w:lang w:val="en-US"/>
        </w:rPr>
        <w:t xml:space="preserve">review of the facts </w:t>
      </w:r>
      <w:r w:rsidR="007522C8" w:rsidRPr="00541658">
        <w:rPr>
          <w:rFonts w:ascii="Times New Roman" w:hAnsi="Times New Roman" w:cs="Times New Roman"/>
          <w:sz w:val="24"/>
          <w:szCs w:val="24"/>
          <w:lang w:val="en-US"/>
        </w:rPr>
        <w:t xml:space="preserve">in relation to our client’s case, </w:t>
      </w:r>
      <w:r w:rsidRPr="00541658">
        <w:rPr>
          <w:rFonts w:ascii="Times New Roman" w:hAnsi="Times New Roman" w:cs="Times New Roman"/>
          <w:sz w:val="24"/>
          <w:szCs w:val="24"/>
          <w:lang w:val="en-US"/>
        </w:rPr>
        <w:t xml:space="preserve">and </w:t>
      </w:r>
      <w:r w:rsidR="004C5247" w:rsidRPr="00541658">
        <w:rPr>
          <w:rFonts w:ascii="Times New Roman" w:hAnsi="Times New Roman" w:cs="Times New Roman"/>
          <w:sz w:val="24"/>
          <w:szCs w:val="24"/>
          <w:lang w:val="en-US"/>
        </w:rPr>
        <w:t>ERP</w:t>
      </w:r>
      <w:r w:rsidR="00B249F2" w:rsidRPr="00541658">
        <w:rPr>
          <w:rFonts w:ascii="Times New Roman" w:hAnsi="Times New Roman" w:cs="Times New Roman"/>
          <w:sz w:val="24"/>
          <w:szCs w:val="24"/>
          <w:lang w:val="en-US"/>
        </w:rPr>
        <w:t xml:space="preserve"> </w:t>
      </w:r>
      <w:r w:rsidR="007522C8" w:rsidRPr="00541658">
        <w:rPr>
          <w:rFonts w:ascii="Times New Roman" w:hAnsi="Times New Roman" w:cs="Times New Roman"/>
          <w:sz w:val="24"/>
          <w:szCs w:val="24"/>
          <w:lang w:val="en-US"/>
        </w:rPr>
        <w:t>in general. As such</w:t>
      </w:r>
      <w:r w:rsidRPr="00541658">
        <w:rPr>
          <w:rFonts w:ascii="Times New Roman" w:hAnsi="Times New Roman" w:cs="Times New Roman"/>
          <w:sz w:val="24"/>
          <w:szCs w:val="24"/>
          <w:lang w:val="en-US"/>
        </w:rPr>
        <w:t>,</w:t>
      </w:r>
      <w:r w:rsidR="007522C8" w:rsidRPr="00541658">
        <w:rPr>
          <w:rFonts w:ascii="Times New Roman" w:hAnsi="Times New Roman" w:cs="Times New Roman"/>
          <w:sz w:val="24"/>
          <w:szCs w:val="24"/>
          <w:lang w:val="en-US"/>
        </w:rPr>
        <w:t xml:space="preserve"> it makes an important</w:t>
      </w:r>
      <w:r w:rsidR="00A80BA7" w:rsidRPr="00541658">
        <w:rPr>
          <w:rFonts w:ascii="Times New Roman" w:hAnsi="Times New Roman" w:cs="Times New Roman"/>
          <w:sz w:val="24"/>
          <w:szCs w:val="24"/>
          <w:lang w:val="en-US"/>
        </w:rPr>
        <w:t xml:space="preserve"> contribution </w:t>
      </w:r>
      <w:r w:rsidR="00720FED" w:rsidRPr="00541658">
        <w:rPr>
          <w:rFonts w:ascii="Times New Roman" w:hAnsi="Times New Roman" w:cs="Times New Roman"/>
          <w:sz w:val="24"/>
          <w:szCs w:val="24"/>
          <w:lang w:val="en-US"/>
        </w:rPr>
        <w:t xml:space="preserve">to the </w:t>
      </w:r>
      <w:r w:rsidR="007522C8" w:rsidRPr="00541658">
        <w:rPr>
          <w:rFonts w:ascii="Times New Roman" w:hAnsi="Times New Roman" w:cs="Times New Roman"/>
          <w:sz w:val="24"/>
          <w:szCs w:val="24"/>
          <w:lang w:val="en-US"/>
        </w:rPr>
        <w:t>historical record</w:t>
      </w:r>
      <w:r w:rsidRPr="00541658">
        <w:rPr>
          <w:rFonts w:ascii="Times New Roman" w:hAnsi="Times New Roman" w:cs="Times New Roman"/>
          <w:sz w:val="24"/>
          <w:szCs w:val="24"/>
          <w:lang w:val="en-US"/>
        </w:rPr>
        <w:t xml:space="preserve"> in an area </w:t>
      </w:r>
      <w:r w:rsidR="00EE14E1">
        <w:rPr>
          <w:rFonts w:ascii="Times New Roman" w:hAnsi="Times New Roman" w:cs="Times New Roman"/>
          <w:sz w:val="24"/>
          <w:szCs w:val="24"/>
          <w:lang w:val="en-US"/>
        </w:rPr>
        <w:t>that</w:t>
      </w:r>
      <w:r w:rsidR="004F3BC1" w:rsidRPr="00541658">
        <w:rPr>
          <w:rFonts w:ascii="Times New Roman" w:hAnsi="Times New Roman" w:cs="Times New Roman"/>
          <w:sz w:val="24"/>
          <w:szCs w:val="24"/>
          <w:lang w:val="en-US"/>
        </w:rPr>
        <w:t xml:space="preserve"> the Court noted remains </w:t>
      </w:r>
      <w:r w:rsidRPr="00541658">
        <w:rPr>
          <w:rFonts w:ascii="Times New Roman" w:hAnsi="Times New Roman" w:cs="Times New Roman"/>
          <w:sz w:val="24"/>
          <w:szCs w:val="24"/>
          <w:lang w:val="en-US"/>
        </w:rPr>
        <w:t>“shrouded in secrecy.”</w:t>
      </w:r>
      <w:r w:rsidR="00B249F2" w:rsidRPr="00541658">
        <w:rPr>
          <w:rFonts w:ascii="Times New Roman" w:hAnsi="Times New Roman" w:cs="Times New Roman"/>
          <w:sz w:val="24"/>
          <w:szCs w:val="24"/>
          <w:lang w:val="en-US"/>
        </w:rPr>
        <w:t xml:space="preserve"> </w:t>
      </w:r>
    </w:p>
    <w:p w14:paraId="14824888" w14:textId="6937D91C" w:rsidR="00D82741" w:rsidRPr="00541658" w:rsidRDefault="004C5247"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judgment </w:t>
      </w:r>
      <w:r w:rsidR="007522C8" w:rsidRPr="00541658">
        <w:rPr>
          <w:rFonts w:ascii="Times New Roman" w:hAnsi="Times New Roman" w:cs="Times New Roman"/>
          <w:sz w:val="24"/>
          <w:szCs w:val="24"/>
          <w:lang w:val="en-US"/>
        </w:rPr>
        <w:t xml:space="preserve">draws together a noteworthy </w:t>
      </w:r>
      <w:r w:rsidR="00AE2401" w:rsidRPr="00541658">
        <w:rPr>
          <w:rFonts w:ascii="Times New Roman" w:hAnsi="Times New Roman" w:cs="Times New Roman"/>
          <w:sz w:val="24"/>
          <w:szCs w:val="24"/>
          <w:lang w:val="en-US"/>
        </w:rPr>
        <w:t>array of sources of information</w:t>
      </w:r>
      <w:r w:rsidR="00545785" w:rsidRPr="00541658">
        <w:rPr>
          <w:rFonts w:ascii="Times New Roman" w:hAnsi="Times New Roman" w:cs="Times New Roman"/>
          <w:sz w:val="24"/>
          <w:szCs w:val="24"/>
          <w:lang w:val="en-US"/>
        </w:rPr>
        <w:t xml:space="preserve"> including:</w:t>
      </w:r>
      <w:r w:rsidR="00AE2401" w:rsidRPr="00541658">
        <w:rPr>
          <w:rFonts w:ascii="Times New Roman" w:hAnsi="Times New Roman" w:cs="Times New Roman"/>
          <w:sz w:val="24"/>
          <w:szCs w:val="24"/>
          <w:lang w:val="en-US"/>
        </w:rPr>
        <w:t xml:space="preserve"> </w:t>
      </w:r>
      <w:r w:rsidR="007522C8" w:rsidRPr="00541658">
        <w:rPr>
          <w:rFonts w:ascii="Times New Roman" w:hAnsi="Times New Roman" w:cs="Times New Roman"/>
          <w:sz w:val="24"/>
          <w:szCs w:val="24"/>
          <w:lang w:val="en-US"/>
        </w:rPr>
        <w:t xml:space="preserve">detailed testimony of </w:t>
      </w:r>
      <w:r w:rsidR="00D82741" w:rsidRPr="00541658">
        <w:rPr>
          <w:rFonts w:ascii="Times New Roman" w:hAnsi="Times New Roman" w:cs="Times New Roman"/>
          <w:sz w:val="24"/>
          <w:szCs w:val="24"/>
          <w:lang w:val="en-US"/>
        </w:rPr>
        <w:t xml:space="preserve">expert </w:t>
      </w:r>
      <w:r w:rsidR="00D84350" w:rsidRPr="00541658">
        <w:rPr>
          <w:rFonts w:ascii="Times New Roman" w:hAnsi="Times New Roman" w:cs="Times New Roman"/>
          <w:sz w:val="24"/>
          <w:szCs w:val="24"/>
          <w:lang w:val="en-US"/>
        </w:rPr>
        <w:t>witness</w:t>
      </w:r>
      <w:r w:rsidR="00E97734" w:rsidRPr="00541658">
        <w:rPr>
          <w:rFonts w:ascii="Times New Roman" w:hAnsi="Times New Roman" w:cs="Times New Roman"/>
          <w:sz w:val="24"/>
          <w:szCs w:val="24"/>
          <w:lang w:val="en-US"/>
        </w:rPr>
        <w:t>es</w:t>
      </w:r>
      <w:r w:rsidR="007522C8" w:rsidRPr="00541658">
        <w:rPr>
          <w:rFonts w:ascii="Times New Roman" w:hAnsi="Times New Roman" w:cs="Times New Roman"/>
          <w:sz w:val="24"/>
          <w:szCs w:val="24"/>
          <w:lang w:val="en-US"/>
        </w:rPr>
        <w:t xml:space="preserve"> </w:t>
      </w:r>
      <w:r w:rsidR="00545785" w:rsidRPr="00541658">
        <w:rPr>
          <w:rFonts w:ascii="Times New Roman" w:hAnsi="Times New Roman" w:cs="Times New Roman"/>
          <w:sz w:val="24"/>
          <w:szCs w:val="24"/>
          <w:lang w:val="en-US"/>
        </w:rPr>
        <w:t>(</w:t>
      </w:r>
      <w:r w:rsidR="00E97734" w:rsidRPr="00541658">
        <w:rPr>
          <w:rFonts w:ascii="Times New Roman" w:hAnsi="Times New Roman" w:cs="Times New Roman"/>
          <w:sz w:val="24"/>
          <w:szCs w:val="24"/>
          <w:lang w:val="en-US"/>
        </w:rPr>
        <w:t xml:space="preserve">para 542); </w:t>
      </w:r>
      <w:r w:rsidRPr="00541658">
        <w:rPr>
          <w:rFonts w:ascii="Times New Roman" w:hAnsi="Times New Roman" w:cs="Times New Roman"/>
          <w:sz w:val="24"/>
          <w:szCs w:val="24"/>
          <w:lang w:val="en-US"/>
        </w:rPr>
        <w:t>flight-path and aircraft analysis to map routes of disguised CIA fl</w:t>
      </w:r>
      <w:r w:rsidR="00E97734" w:rsidRPr="00541658">
        <w:rPr>
          <w:rFonts w:ascii="Times New Roman" w:hAnsi="Times New Roman" w:cs="Times New Roman"/>
          <w:sz w:val="24"/>
          <w:szCs w:val="24"/>
          <w:lang w:val="en-US"/>
        </w:rPr>
        <w:t>ights;</w:t>
      </w:r>
      <w:r w:rsidRPr="00541658">
        <w:rPr>
          <w:rFonts w:ascii="Times New Roman" w:hAnsi="Times New Roman" w:cs="Times New Roman"/>
          <w:sz w:val="24"/>
          <w:szCs w:val="24"/>
          <w:lang w:val="en-US"/>
        </w:rPr>
        <w:t xml:space="preserve"> national </w:t>
      </w:r>
      <w:r w:rsidR="00545785" w:rsidRPr="00541658">
        <w:rPr>
          <w:rFonts w:ascii="Times New Roman" w:hAnsi="Times New Roman" w:cs="Times New Roman"/>
          <w:sz w:val="24"/>
          <w:szCs w:val="24"/>
          <w:lang w:val="en-US"/>
        </w:rPr>
        <w:t>enquiries</w:t>
      </w:r>
      <w:r w:rsidR="00E97734" w:rsidRPr="00541658">
        <w:rPr>
          <w:rFonts w:ascii="Times New Roman" w:hAnsi="Times New Roman" w:cs="Times New Roman"/>
          <w:sz w:val="24"/>
          <w:szCs w:val="24"/>
          <w:lang w:val="en-US"/>
        </w:rPr>
        <w:t xml:space="preserve"> from within the Lithuanian parliament, the US Senate Intelligence Committee</w:t>
      </w:r>
      <w:r w:rsidR="00545785" w:rsidRPr="00541658">
        <w:rPr>
          <w:rFonts w:ascii="Times New Roman" w:hAnsi="Times New Roman" w:cs="Times New Roman"/>
          <w:sz w:val="24"/>
          <w:szCs w:val="24"/>
          <w:lang w:val="en-US"/>
        </w:rPr>
        <w:t xml:space="preserve">, </w:t>
      </w:r>
      <w:r w:rsidR="00E97734" w:rsidRPr="00541658">
        <w:rPr>
          <w:rFonts w:ascii="Times New Roman" w:hAnsi="Times New Roman" w:cs="Times New Roman"/>
          <w:sz w:val="24"/>
          <w:szCs w:val="24"/>
          <w:lang w:val="en-US"/>
        </w:rPr>
        <w:t xml:space="preserve">and various international bodies </w:t>
      </w:r>
      <w:r w:rsidR="00545785" w:rsidRPr="00541658">
        <w:rPr>
          <w:rFonts w:ascii="Times New Roman" w:hAnsi="Times New Roman" w:cs="Times New Roman"/>
          <w:sz w:val="24"/>
          <w:szCs w:val="24"/>
          <w:lang w:val="en-US"/>
        </w:rPr>
        <w:t>from within</w:t>
      </w:r>
      <w:r w:rsidR="00E97734" w:rsidRPr="00541658">
        <w:rPr>
          <w:rFonts w:ascii="Times New Roman" w:hAnsi="Times New Roman" w:cs="Times New Roman"/>
          <w:sz w:val="24"/>
          <w:szCs w:val="24"/>
          <w:lang w:val="en-US"/>
        </w:rPr>
        <w:t xml:space="preserve"> the UN, </w:t>
      </w:r>
      <w:r w:rsidR="00545785" w:rsidRPr="00541658">
        <w:rPr>
          <w:rFonts w:ascii="Times New Roman" w:hAnsi="Times New Roman" w:cs="Times New Roman"/>
          <w:sz w:val="24"/>
          <w:szCs w:val="24"/>
          <w:lang w:val="en-US"/>
        </w:rPr>
        <w:t xml:space="preserve">the </w:t>
      </w:r>
      <w:r w:rsidR="00E97734" w:rsidRPr="00541658">
        <w:rPr>
          <w:rFonts w:ascii="Times New Roman" w:hAnsi="Times New Roman" w:cs="Times New Roman"/>
          <w:sz w:val="24"/>
          <w:szCs w:val="24"/>
          <w:lang w:val="en-US"/>
        </w:rPr>
        <w:t xml:space="preserve">Council of Europe and the European Parliament; evidence from the state’s own investigative file; and, finally, myriad reports by NGOs and the media. </w:t>
      </w:r>
    </w:p>
    <w:p w14:paraId="65253C35" w14:textId="51A8BE12" w:rsidR="005020C2" w:rsidRPr="00541658" w:rsidRDefault="00365386" w:rsidP="00541658">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The Court’s</w:t>
      </w:r>
      <w:r w:rsidR="00D82741" w:rsidRPr="00541658">
        <w:rPr>
          <w:rFonts w:ascii="Times New Roman" w:hAnsi="Times New Roman" w:cs="Times New Roman"/>
          <w:sz w:val="24"/>
          <w:szCs w:val="24"/>
          <w:lang w:val="en-US"/>
        </w:rPr>
        <w:t xml:space="preserve"> fundamental conclusion</w:t>
      </w:r>
      <w:r w:rsidR="00E920C4" w:rsidRPr="00541658">
        <w:rPr>
          <w:rFonts w:ascii="Times New Roman" w:hAnsi="Times New Roman" w:cs="Times New Roman"/>
          <w:sz w:val="24"/>
          <w:szCs w:val="24"/>
          <w:lang w:val="en-US"/>
        </w:rPr>
        <w:t>s of fact were that</w:t>
      </w:r>
      <w:r w:rsidR="007522C8" w:rsidRPr="00541658">
        <w:rPr>
          <w:rFonts w:ascii="Times New Roman" w:hAnsi="Times New Roman" w:cs="Times New Roman"/>
          <w:sz w:val="24"/>
          <w:szCs w:val="24"/>
          <w:lang w:val="en-US"/>
        </w:rPr>
        <w:t>, taken together</w:t>
      </w:r>
      <w:r w:rsidR="00AE2401" w:rsidRPr="00541658">
        <w:rPr>
          <w:rFonts w:ascii="Times New Roman" w:hAnsi="Times New Roman" w:cs="Times New Roman"/>
          <w:sz w:val="24"/>
          <w:szCs w:val="24"/>
          <w:lang w:val="en-US"/>
        </w:rPr>
        <w:t>,</w:t>
      </w:r>
      <w:r w:rsidR="007522C8" w:rsidRPr="00541658">
        <w:rPr>
          <w:rFonts w:ascii="Times New Roman" w:hAnsi="Times New Roman" w:cs="Times New Roman"/>
          <w:sz w:val="24"/>
          <w:szCs w:val="24"/>
          <w:lang w:val="en-US"/>
        </w:rPr>
        <w:t xml:space="preserve"> th</w:t>
      </w:r>
      <w:r w:rsidR="00AE2401" w:rsidRPr="00541658">
        <w:rPr>
          <w:rFonts w:ascii="Times New Roman" w:hAnsi="Times New Roman" w:cs="Times New Roman"/>
          <w:sz w:val="24"/>
          <w:szCs w:val="24"/>
          <w:lang w:val="en-US"/>
        </w:rPr>
        <w:t>e totality of the</w:t>
      </w:r>
      <w:r w:rsidR="007522C8" w:rsidRPr="00541658">
        <w:rPr>
          <w:rFonts w:ascii="Times New Roman" w:hAnsi="Times New Roman" w:cs="Times New Roman"/>
          <w:sz w:val="24"/>
          <w:szCs w:val="24"/>
          <w:lang w:val="en-US"/>
        </w:rPr>
        <w:t xml:space="preserve"> evidence </w:t>
      </w:r>
      <w:r w:rsidR="00B249F2" w:rsidRPr="00541658">
        <w:rPr>
          <w:rFonts w:ascii="Times New Roman" w:hAnsi="Times New Roman" w:cs="Times New Roman"/>
          <w:sz w:val="24"/>
          <w:szCs w:val="24"/>
          <w:lang w:val="en-US"/>
        </w:rPr>
        <w:t>“</w:t>
      </w:r>
      <w:r w:rsidR="00D82741" w:rsidRPr="00541658">
        <w:rPr>
          <w:rFonts w:ascii="Times New Roman" w:hAnsi="Times New Roman" w:cs="Times New Roman"/>
          <w:sz w:val="24"/>
          <w:szCs w:val="24"/>
          <w:lang w:val="en-US"/>
        </w:rPr>
        <w:t xml:space="preserve">established </w:t>
      </w:r>
      <w:r w:rsidR="00B249F2" w:rsidRPr="00541658">
        <w:rPr>
          <w:rFonts w:ascii="Times New Roman" w:hAnsi="Times New Roman" w:cs="Times New Roman"/>
          <w:sz w:val="24"/>
          <w:szCs w:val="24"/>
          <w:lang w:val="en-US"/>
        </w:rPr>
        <w:t>beyond reasonable doubt”</w:t>
      </w:r>
      <w:r w:rsidR="00AE2401" w:rsidRPr="00541658">
        <w:rPr>
          <w:rFonts w:ascii="Times New Roman" w:hAnsi="Times New Roman" w:cs="Times New Roman"/>
          <w:sz w:val="24"/>
          <w:szCs w:val="24"/>
          <w:lang w:val="en-US"/>
        </w:rPr>
        <w:t xml:space="preserve"> that</w:t>
      </w:r>
      <w:r w:rsidR="005808A4" w:rsidRPr="00541658">
        <w:rPr>
          <w:rFonts w:ascii="Times New Roman" w:hAnsi="Times New Roman" w:cs="Times New Roman"/>
          <w:sz w:val="24"/>
          <w:szCs w:val="24"/>
          <w:lang w:val="en-US"/>
        </w:rPr>
        <w:t>:</w:t>
      </w:r>
      <w:r w:rsidR="005020C2" w:rsidRPr="00541658">
        <w:rPr>
          <w:rFonts w:ascii="Times New Roman" w:hAnsi="Times New Roman" w:cs="Times New Roman"/>
          <w:sz w:val="24"/>
          <w:szCs w:val="24"/>
          <w:lang w:val="en-US"/>
        </w:rPr>
        <w:t xml:space="preserve"> </w:t>
      </w:r>
    </w:p>
    <w:p w14:paraId="60839CF0" w14:textId="3201A846" w:rsidR="005020C2" w:rsidRPr="00541658" w:rsidRDefault="005020C2" w:rsidP="00541658">
      <w:pPr>
        <w:pStyle w:val="ListParagraph"/>
        <w:numPr>
          <w:ilvl w:val="0"/>
          <w:numId w:val="1"/>
        </w:num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w:t>
      </w:r>
      <w:r w:rsidR="00E97734" w:rsidRPr="00541658">
        <w:rPr>
          <w:rFonts w:ascii="Times New Roman" w:hAnsi="Times New Roman" w:cs="Times New Roman"/>
          <w:i/>
          <w:sz w:val="24"/>
          <w:szCs w:val="24"/>
          <w:lang w:val="en-US"/>
        </w:rPr>
        <w:t>[A]</w:t>
      </w:r>
      <w:r w:rsidRPr="00541658">
        <w:rPr>
          <w:rFonts w:ascii="Times New Roman" w:hAnsi="Times New Roman" w:cs="Times New Roman"/>
          <w:i/>
          <w:sz w:val="24"/>
          <w:szCs w:val="24"/>
          <w:lang w:val="en-US"/>
        </w:rPr>
        <w:t xml:space="preserve"> CIA detention facility, codenamed Detention Site Violet according to the 2014 US Senate Committee Report, was located in Lithuania</w:t>
      </w:r>
      <w:r w:rsidRPr="00541658">
        <w:rPr>
          <w:rFonts w:ascii="Times New Roman" w:hAnsi="Times New Roman" w:cs="Times New Roman"/>
          <w:sz w:val="24"/>
          <w:szCs w:val="24"/>
          <w:lang w:val="en-US"/>
        </w:rPr>
        <w:t>…”</w:t>
      </w:r>
      <w:r w:rsidR="00E920C4"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from </w:t>
      </w:r>
      <w:r w:rsidR="00AE2401" w:rsidRPr="00541658">
        <w:rPr>
          <w:rFonts w:ascii="Times New Roman" w:hAnsi="Times New Roman" w:cs="Times New Roman"/>
          <w:sz w:val="24"/>
          <w:szCs w:val="24"/>
          <w:lang w:val="en-US"/>
        </w:rPr>
        <w:t>February</w:t>
      </w:r>
      <w:r w:rsidRPr="00541658">
        <w:rPr>
          <w:rFonts w:ascii="Times New Roman" w:hAnsi="Times New Roman" w:cs="Times New Roman"/>
          <w:sz w:val="24"/>
          <w:szCs w:val="24"/>
          <w:lang w:val="en-US"/>
        </w:rPr>
        <w:t xml:space="preserve"> 2005 to March 2006 (para 532)</w:t>
      </w:r>
      <w:r w:rsidR="00FC56E9" w:rsidRPr="00541658">
        <w:rPr>
          <w:rFonts w:ascii="Times New Roman" w:hAnsi="Times New Roman" w:cs="Times New Roman"/>
          <w:sz w:val="24"/>
          <w:szCs w:val="24"/>
          <w:lang w:val="en-US"/>
        </w:rPr>
        <w:t>.</w:t>
      </w:r>
    </w:p>
    <w:p w14:paraId="34287B4E" w14:textId="0B6FE010" w:rsidR="005808A4" w:rsidRPr="00541658" w:rsidRDefault="00E97734" w:rsidP="00AE68B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D</w:t>
      </w:r>
      <w:r w:rsidR="00CE7595" w:rsidRPr="00541658">
        <w:rPr>
          <w:rFonts w:ascii="Times New Roman" w:hAnsi="Times New Roman" w:cs="Times New Roman"/>
          <w:sz w:val="24"/>
          <w:szCs w:val="24"/>
          <w:lang w:val="en-US"/>
        </w:rPr>
        <w:t xml:space="preserve">espite </w:t>
      </w:r>
      <w:r w:rsidR="00AE2401" w:rsidRPr="00541658">
        <w:rPr>
          <w:rFonts w:ascii="Times New Roman" w:hAnsi="Times New Roman" w:cs="Times New Roman"/>
          <w:sz w:val="24"/>
          <w:szCs w:val="24"/>
          <w:lang w:val="en-US"/>
        </w:rPr>
        <w:t xml:space="preserve">the </w:t>
      </w:r>
      <w:r w:rsidR="00D84350" w:rsidRPr="00541658">
        <w:rPr>
          <w:rFonts w:ascii="Times New Roman" w:hAnsi="Times New Roman" w:cs="Times New Roman"/>
          <w:sz w:val="24"/>
          <w:szCs w:val="24"/>
          <w:lang w:val="en-US"/>
        </w:rPr>
        <w:t>obscured flight</w:t>
      </w:r>
      <w:r w:rsidR="005020C2" w:rsidRPr="00541658">
        <w:rPr>
          <w:rFonts w:ascii="Times New Roman" w:hAnsi="Times New Roman" w:cs="Times New Roman"/>
          <w:sz w:val="24"/>
          <w:szCs w:val="24"/>
          <w:lang w:val="en-US"/>
        </w:rPr>
        <w:t xml:space="preserve"> paths </w:t>
      </w:r>
      <w:r w:rsidR="00AE2401" w:rsidRPr="00541658">
        <w:rPr>
          <w:rFonts w:ascii="Times New Roman" w:hAnsi="Times New Roman" w:cs="Times New Roman"/>
          <w:sz w:val="24"/>
          <w:szCs w:val="24"/>
          <w:lang w:val="en-US"/>
        </w:rPr>
        <w:t>including</w:t>
      </w:r>
      <w:r w:rsidR="005020C2" w:rsidRPr="00541658">
        <w:rPr>
          <w:rFonts w:ascii="Times New Roman" w:hAnsi="Times New Roman" w:cs="Times New Roman"/>
          <w:sz w:val="24"/>
          <w:szCs w:val="24"/>
          <w:lang w:val="en-US"/>
        </w:rPr>
        <w:t xml:space="preserve"> </w:t>
      </w:r>
      <w:r w:rsidR="00D84350" w:rsidRPr="00541658">
        <w:rPr>
          <w:rFonts w:ascii="Times New Roman" w:hAnsi="Times New Roman" w:cs="Times New Roman"/>
          <w:sz w:val="24"/>
          <w:szCs w:val="24"/>
          <w:lang w:val="en-US"/>
        </w:rPr>
        <w:t xml:space="preserve">dummy flight plans, </w:t>
      </w:r>
      <w:r w:rsidR="00AE2401" w:rsidRPr="00541658">
        <w:rPr>
          <w:rFonts w:ascii="Times New Roman" w:hAnsi="Times New Roman" w:cs="Times New Roman"/>
          <w:sz w:val="24"/>
          <w:szCs w:val="24"/>
          <w:lang w:val="en-US"/>
        </w:rPr>
        <w:t>CIA</w:t>
      </w:r>
      <w:r w:rsidR="00D84350" w:rsidRPr="00541658">
        <w:rPr>
          <w:rFonts w:ascii="Times New Roman" w:hAnsi="Times New Roman" w:cs="Times New Roman"/>
          <w:sz w:val="24"/>
          <w:szCs w:val="24"/>
          <w:lang w:val="en-US"/>
        </w:rPr>
        <w:t xml:space="preserve"> renditions flight</w:t>
      </w:r>
      <w:r w:rsidR="00AE2401" w:rsidRPr="00541658">
        <w:rPr>
          <w:rFonts w:ascii="Times New Roman" w:hAnsi="Times New Roman" w:cs="Times New Roman"/>
          <w:sz w:val="24"/>
          <w:szCs w:val="24"/>
          <w:lang w:val="en-US"/>
        </w:rPr>
        <w:t xml:space="preserve">s took our client from </w:t>
      </w:r>
      <w:r w:rsidR="00D84350" w:rsidRPr="00541658">
        <w:rPr>
          <w:rFonts w:ascii="Times New Roman" w:hAnsi="Times New Roman" w:cs="Times New Roman"/>
          <w:sz w:val="24"/>
          <w:szCs w:val="24"/>
          <w:lang w:val="en-US"/>
        </w:rPr>
        <w:t xml:space="preserve">Poland to </w:t>
      </w:r>
      <w:r w:rsidR="00E920C4" w:rsidRPr="00541658">
        <w:rPr>
          <w:rFonts w:ascii="Times New Roman" w:hAnsi="Times New Roman" w:cs="Times New Roman"/>
          <w:sz w:val="24"/>
          <w:szCs w:val="24"/>
          <w:lang w:val="en-US"/>
        </w:rPr>
        <w:t>Guantanamo</w:t>
      </w:r>
      <w:r w:rsidR="00AE2401" w:rsidRPr="00541658">
        <w:rPr>
          <w:rFonts w:ascii="Times New Roman" w:hAnsi="Times New Roman" w:cs="Times New Roman"/>
          <w:sz w:val="24"/>
          <w:szCs w:val="24"/>
          <w:lang w:val="en-US"/>
        </w:rPr>
        <w:t xml:space="preserve"> in 2003</w:t>
      </w:r>
      <w:r w:rsidR="00D84350" w:rsidRPr="00541658">
        <w:rPr>
          <w:rFonts w:ascii="Times New Roman" w:hAnsi="Times New Roman" w:cs="Times New Roman"/>
          <w:sz w:val="24"/>
          <w:szCs w:val="24"/>
          <w:lang w:val="en-US"/>
        </w:rPr>
        <w:t xml:space="preserve">, </w:t>
      </w:r>
      <w:r w:rsidR="00AE2401" w:rsidRPr="00541658">
        <w:rPr>
          <w:rFonts w:ascii="Times New Roman" w:hAnsi="Times New Roman" w:cs="Times New Roman"/>
          <w:sz w:val="24"/>
          <w:szCs w:val="24"/>
          <w:lang w:val="en-US"/>
        </w:rPr>
        <w:t>from Guantanamo to Morocco in 2004 (corresponding with</w:t>
      </w:r>
      <w:r w:rsidR="00CA6ADF" w:rsidRPr="00541658">
        <w:rPr>
          <w:rFonts w:ascii="Times New Roman" w:hAnsi="Times New Roman" w:cs="Times New Roman"/>
          <w:sz w:val="24"/>
          <w:szCs w:val="24"/>
          <w:lang w:val="en-US"/>
        </w:rPr>
        <w:t xml:space="preserve"> the anticipation of</w:t>
      </w:r>
      <w:r w:rsidR="00AE2401" w:rsidRPr="00541658">
        <w:rPr>
          <w:rFonts w:ascii="Times New Roman" w:hAnsi="Times New Roman" w:cs="Times New Roman"/>
          <w:sz w:val="24"/>
          <w:szCs w:val="24"/>
          <w:lang w:val="en-US"/>
        </w:rPr>
        <w:t xml:space="preserve"> Guantanamo detainee access to counsel)</w:t>
      </w:r>
      <w:r w:rsidR="00AA6593">
        <w:rPr>
          <w:rFonts w:ascii="Times New Roman" w:hAnsi="Times New Roman" w:cs="Times New Roman"/>
          <w:sz w:val="24"/>
          <w:szCs w:val="24"/>
          <w:lang w:val="en-US"/>
        </w:rPr>
        <w:t>,</w:t>
      </w:r>
      <w:r w:rsidR="00AE2401" w:rsidRPr="00541658">
        <w:rPr>
          <w:rFonts w:ascii="Times New Roman" w:hAnsi="Times New Roman" w:cs="Times New Roman"/>
          <w:sz w:val="24"/>
          <w:szCs w:val="24"/>
          <w:lang w:val="en-US"/>
        </w:rPr>
        <w:t xml:space="preserve"> </w:t>
      </w:r>
      <w:r w:rsidR="00AA6593">
        <w:rPr>
          <w:rFonts w:ascii="Times New Roman" w:hAnsi="Times New Roman" w:cs="Times New Roman"/>
          <w:sz w:val="24"/>
          <w:szCs w:val="24"/>
          <w:lang w:val="en-US"/>
        </w:rPr>
        <w:t>and on</w:t>
      </w:r>
      <w:r w:rsidR="00D84350" w:rsidRPr="00541658">
        <w:rPr>
          <w:rFonts w:ascii="Times New Roman" w:hAnsi="Times New Roman" w:cs="Times New Roman"/>
          <w:sz w:val="24"/>
          <w:szCs w:val="24"/>
          <w:lang w:val="en-US"/>
        </w:rPr>
        <w:t xml:space="preserve"> to </w:t>
      </w:r>
      <w:r w:rsidR="00CE7595" w:rsidRPr="00541658">
        <w:rPr>
          <w:rFonts w:ascii="Times New Roman" w:hAnsi="Times New Roman" w:cs="Times New Roman"/>
          <w:sz w:val="24"/>
          <w:szCs w:val="24"/>
          <w:lang w:val="en-US"/>
        </w:rPr>
        <w:t>Lithuania</w:t>
      </w:r>
      <w:r w:rsidR="00D84350" w:rsidRPr="00541658">
        <w:rPr>
          <w:rFonts w:ascii="Times New Roman" w:hAnsi="Times New Roman" w:cs="Times New Roman"/>
          <w:sz w:val="24"/>
          <w:szCs w:val="24"/>
          <w:lang w:val="en-US"/>
        </w:rPr>
        <w:t xml:space="preserve"> in Oct</w:t>
      </w:r>
      <w:r w:rsidR="00545785" w:rsidRPr="00541658">
        <w:rPr>
          <w:rFonts w:ascii="Times New Roman" w:hAnsi="Times New Roman" w:cs="Times New Roman"/>
          <w:sz w:val="24"/>
          <w:szCs w:val="24"/>
          <w:lang w:val="en-US"/>
        </w:rPr>
        <w:t>ober</w:t>
      </w:r>
      <w:r w:rsidR="00D84350" w:rsidRPr="00541658">
        <w:rPr>
          <w:rFonts w:ascii="Times New Roman" w:hAnsi="Times New Roman" w:cs="Times New Roman"/>
          <w:sz w:val="24"/>
          <w:szCs w:val="24"/>
          <w:lang w:val="en-US"/>
        </w:rPr>
        <w:t xml:space="preserve"> 2005</w:t>
      </w:r>
      <w:r w:rsidR="005020C2" w:rsidRPr="00541658">
        <w:rPr>
          <w:rFonts w:ascii="Times New Roman" w:hAnsi="Times New Roman" w:cs="Times New Roman"/>
          <w:sz w:val="24"/>
          <w:szCs w:val="24"/>
          <w:lang w:val="en-US"/>
        </w:rPr>
        <w:t xml:space="preserve"> (</w:t>
      </w:r>
      <w:r w:rsidR="005314F3" w:rsidRPr="00541658">
        <w:rPr>
          <w:rFonts w:ascii="Times New Roman" w:hAnsi="Times New Roman" w:cs="Times New Roman"/>
          <w:sz w:val="24"/>
          <w:szCs w:val="24"/>
          <w:lang w:val="en-US"/>
        </w:rPr>
        <w:t xml:space="preserve">para </w:t>
      </w:r>
      <w:r w:rsidR="005020C2" w:rsidRPr="00541658">
        <w:rPr>
          <w:rFonts w:ascii="Times New Roman" w:hAnsi="Times New Roman" w:cs="Times New Roman"/>
          <w:sz w:val="24"/>
          <w:szCs w:val="24"/>
          <w:lang w:val="en-US"/>
        </w:rPr>
        <w:t>497)</w:t>
      </w:r>
      <w:r w:rsidR="00AA6593">
        <w:rPr>
          <w:rFonts w:ascii="Times New Roman" w:hAnsi="Times New Roman" w:cs="Times New Roman"/>
          <w:sz w:val="24"/>
          <w:szCs w:val="24"/>
          <w:lang w:val="en-US"/>
        </w:rPr>
        <w:t>. He was later transferred to Afghanistan and Guantanamo in 2006</w:t>
      </w:r>
      <w:r w:rsidR="00D84350" w:rsidRPr="00541658">
        <w:rPr>
          <w:rFonts w:ascii="Times New Roman" w:hAnsi="Times New Roman" w:cs="Times New Roman"/>
          <w:sz w:val="24"/>
          <w:szCs w:val="24"/>
          <w:lang w:val="en-US"/>
        </w:rPr>
        <w:t xml:space="preserve">.  </w:t>
      </w:r>
    </w:p>
    <w:p w14:paraId="100F2A31" w14:textId="41E08E5D" w:rsidR="00CA6ADF" w:rsidRPr="00541658" w:rsidRDefault="00CA6ADF" w:rsidP="00AE68B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Lithuania </w:t>
      </w:r>
      <w:r w:rsidRPr="00541658">
        <w:rPr>
          <w:rFonts w:ascii="Times New Roman" w:hAnsi="Times New Roman" w:cs="Times New Roman"/>
          <w:i/>
          <w:sz w:val="24"/>
          <w:szCs w:val="24"/>
          <w:lang w:val="en-US"/>
        </w:rPr>
        <w:t>“knew of the nature and purpose of the CIA activates on its territory…[yet  in various ways] cooperated in the preparation and execution of the CIA rendition secret detention and interrogation operations on its territory”</w:t>
      </w:r>
      <w:r w:rsidR="005314F3"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w:t>
      </w:r>
      <w:r w:rsidR="005314F3" w:rsidRPr="00541658">
        <w:rPr>
          <w:rFonts w:ascii="Times New Roman" w:hAnsi="Times New Roman" w:cs="Times New Roman"/>
          <w:sz w:val="24"/>
          <w:szCs w:val="24"/>
          <w:lang w:val="en-US"/>
        </w:rPr>
        <w:t xml:space="preserve">para </w:t>
      </w:r>
      <w:r w:rsidRPr="00541658">
        <w:rPr>
          <w:rFonts w:ascii="Times New Roman" w:hAnsi="Times New Roman" w:cs="Times New Roman"/>
          <w:sz w:val="24"/>
          <w:szCs w:val="24"/>
          <w:lang w:val="en-US"/>
        </w:rPr>
        <w:t>576)</w:t>
      </w:r>
      <w:r w:rsidR="00FC56E9" w:rsidRPr="00541658">
        <w:rPr>
          <w:rFonts w:ascii="Times New Roman" w:hAnsi="Times New Roman" w:cs="Times New Roman"/>
          <w:sz w:val="24"/>
          <w:szCs w:val="24"/>
          <w:lang w:val="en-US"/>
        </w:rPr>
        <w:t>.</w:t>
      </w:r>
    </w:p>
    <w:p w14:paraId="30D25EE3" w14:textId="5DF37B3C" w:rsidR="00262A9F" w:rsidRPr="00541658" w:rsidRDefault="00262A9F" w:rsidP="004F3BC1">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Court </w:t>
      </w:r>
      <w:r w:rsidR="00055521" w:rsidRPr="00541658">
        <w:rPr>
          <w:rFonts w:ascii="Times New Roman" w:hAnsi="Times New Roman" w:cs="Times New Roman"/>
          <w:sz w:val="24"/>
          <w:szCs w:val="24"/>
          <w:lang w:val="en-US"/>
        </w:rPr>
        <w:t xml:space="preserve">referred to specific </w:t>
      </w:r>
      <w:r w:rsidR="00365386" w:rsidRPr="00541658">
        <w:rPr>
          <w:rFonts w:ascii="Times New Roman" w:hAnsi="Times New Roman" w:cs="Times New Roman"/>
          <w:sz w:val="24"/>
          <w:szCs w:val="24"/>
          <w:lang w:val="en-US"/>
        </w:rPr>
        <w:t>sources of</w:t>
      </w:r>
      <w:r w:rsidR="00CA6ADF" w:rsidRPr="00541658">
        <w:rPr>
          <w:rFonts w:ascii="Times New Roman" w:hAnsi="Times New Roman" w:cs="Times New Roman"/>
          <w:sz w:val="24"/>
          <w:szCs w:val="24"/>
          <w:lang w:val="en-US"/>
        </w:rPr>
        <w:t xml:space="preserve"> evidence </w:t>
      </w:r>
      <w:r w:rsidR="00055521" w:rsidRPr="00541658">
        <w:rPr>
          <w:rFonts w:ascii="Times New Roman" w:hAnsi="Times New Roman" w:cs="Times New Roman"/>
          <w:sz w:val="24"/>
          <w:szCs w:val="24"/>
          <w:lang w:val="en-US"/>
        </w:rPr>
        <w:t xml:space="preserve">pointing towards the </w:t>
      </w:r>
      <w:r w:rsidR="00365386" w:rsidRPr="00541658">
        <w:rPr>
          <w:rFonts w:ascii="Times New Roman" w:hAnsi="Times New Roman" w:cs="Times New Roman"/>
          <w:sz w:val="24"/>
          <w:szCs w:val="24"/>
          <w:lang w:val="en-US"/>
        </w:rPr>
        <w:t>knowledge</w:t>
      </w:r>
      <w:r w:rsidRPr="00541658">
        <w:rPr>
          <w:rFonts w:ascii="Times New Roman" w:hAnsi="Times New Roman" w:cs="Times New Roman"/>
          <w:sz w:val="24"/>
          <w:szCs w:val="24"/>
          <w:lang w:val="en-US"/>
        </w:rPr>
        <w:t>, approval</w:t>
      </w:r>
      <w:r w:rsidR="00365386" w:rsidRPr="00541658">
        <w:rPr>
          <w:rFonts w:ascii="Times New Roman" w:hAnsi="Times New Roman" w:cs="Times New Roman"/>
          <w:sz w:val="24"/>
          <w:szCs w:val="24"/>
          <w:lang w:val="en-US"/>
        </w:rPr>
        <w:t xml:space="preserve"> and collaboration </w:t>
      </w:r>
      <w:r w:rsidR="00055521" w:rsidRPr="00541658">
        <w:rPr>
          <w:rFonts w:ascii="Times New Roman" w:hAnsi="Times New Roman" w:cs="Times New Roman"/>
          <w:sz w:val="24"/>
          <w:szCs w:val="24"/>
          <w:lang w:val="en-US"/>
        </w:rPr>
        <w:t xml:space="preserve">of Lithuanian officials, including </w:t>
      </w:r>
      <w:r w:rsidR="00365386" w:rsidRPr="00541658">
        <w:rPr>
          <w:rFonts w:ascii="Times New Roman" w:hAnsi="Times New Roman" w:cs="Times New Roman"/>
          <w:sz w:val="24"/>
          <w:szCs w:val="24"/>
          <w:lang w:val="en-US"/>
        </w:rPr>
        <w:t>at the highest levels</w:t>
      </w:r>
      <w:r w:rsidRPr="00541658">
        <w:rPr>
          <w:rFonts w:ascii="Times New Roman" w:hAnsi="Times New Roman" w:cs="Times New Roman"/>
          <w:sz w:val="24"/>
          <w:szCs w:val="24"/>
          <w:lang w:val="en-US"/>
        </w:rPr>
        <w:t xml:space="preserve">. </w:t>
      </w:r>
      <w:r w:rsidR="003C1A6B" w:rsidRPr="00541658">
        <w:rPr>
          <w:rFonts w:ascii="Times New Roman" w:hAnsi="Times New Roman" w:cs="Times New Roman"/>
          <w:sz w:val="24"/>
          <w:szCs w:val="24"/>
          <w:lang w:val="en-US"/>
        </w:rPr>
        <w:t>It noted for example that t</w:t>
      </w:r>
      <w:r w:rsidRPr="00541658">
        <w:rPr>
          <w:rFonts w:ascii="Times New Roman" w:hAnsi="Times New Roman" w:cs="Times New Roman"/>
          <w:sz w:val="24"/>
          <w:szCs w:val="24"/>
          <w:lang w:val="en-US"/>
        </w:rPr>
        <w:t xml:space="preserve">he </w:t>
      </w:r>
      <w:r w:rsidR="00055521" w:rsidRPr="00541658">
        <w:rPr>
          <w:rFonts w:ascii="Times New Roman" w:hAnsi="Times New Roman" w:cs="Times New Roman"/>
          <w:sz w:val="24"/>
          <w:szCs w:val="24"/>
          <w:lang w:val="en-US"/>
        </w:rPr>
        <w:t xml:space="preserve">US </w:t>
      </w:r>
      <w:r w:rsidRPr="00541658">
        <w:rPr>
          <w:rFonts w:ascii="Times New Roman" w:hAnsi="Times New Roman" w:cs="Times New Roman"/>
          <w:sz w:val="24"/>
          <w:szCs w:val="24"/>
          <w:lang w:val="en-US"/>
        </w:rPr>
        <w:t>Senate Intelligence report established that</w:t>
      </w:r>
      <w:r w:rsidR="003C1A6B" w:rsidRPr="00541658">
        <w:rPr>
          <w:rFonts w:ascii="Times New Roman" w:hAnsi="Times New Roman" w:cs="Times New Roman"/>
          <w:sz w:val="24"/>
          <w:szCs w:val="24"/>
          <w:lang w:val="en-US"/>
        </w:rPr>
        <w:t xml:space="preserve"> there was</w:t>
      </w:r>
      <w:r w:rsidRPr="00541658">
        <w:rPr>
          <w:rFonts w:ascii="Times New Roman" w:hAnsi="Times New Roman" w:cs="Times New Roman"/>
          <w:sz w:val="24"/>
          <w:szCs w:val="24"/>
          <w:lang w:val="en-US"/>
        </w:rPr>
        <w:t xml:space="preserve"> </w:t>
      </w:r>
      <w:r w:rsidR="00545785" w:rsidRPr="00541658">
        <w:rPr>
          <w:rFonts w:ascii="Times New Roman" w:hAnsi="Times New Roman" w:cs="Times New Roman"/>
          <w:sz w:val="24"/>
          <w:szCs w:val="24"/>
          <w:lang w:val="en-US"/>
        </w:rPr>
        <w:t>high-level</w:t>
      </w:r>
      <w:r w:rsidRPr="00541658">
        <w:rPr>
          <w:rFonts w:ascii="Times New Roman" w:hAnsi="Times New Roman" w:cs="Times New Roman"/>
          <w:sz w:val="24"/>
          <w:szCs w:val="24"/>
          <w:lang w:val="en-US"/>
        </w:rPr>
        <w:t xml:space="preserve"> approval accompanied by </w:t>
      </w:r>
      <w:r w:rsidR="003C1A6B" w:rsidRPr="00541658">
        <w:rPr>
          <w:rFonts w:ascii="Times New Roman" w:hAnsi="Times New Roman" w:cs="Times New Roman"/>
          <w:sz w:val="24"/>
          <w:szCs w:val="24"/>
          <w:lang w:val="en-US"/>
        </w:rPr>
        <w:t xml:space="preserve">the covert transfer of </w:t>
      </w:r>
      <w:r w:rsidR="007F5DE7" w:rsidRPr="00541658">
        <w:rPr>
          <w:rFonts w:ascii="Times New Roman" w:hAnsi="Times New Roman" w:cs="Times New Roman"/>
          <w:sz w:val="24"/>
          <w:szCs w:val="24"/>
          <w:lang w:val="en-US"/>
        </w:rPr>
        <w:t xml:space="preserve">millions of </w:t>
      </w:r>
      <w:r w:rsidR="00C61FCA" w:rsidRPr="00541658">
        <w:rPr>
          <w:rFonts w:ascii="Times New Roman" w:hAnsi="Times New Roman" w:cs="Times New Roman"/>
          <w:sz w:val="24"/>
          <w:szCs w:val="24"/>
          <w:lang w:val="en-US"/>
        </w:rPr>
        <w:t>dollars</w:t>
      </w:r>
      <w:r w:rsidR="007F5DE7" w:rsidRPr="00541658">
        <w:rPr>
          <w:rFonts w:ascii="Times New Roman" w:hAnsi="Times New Roman" w:cs="Times New Roman"/>
          <w:sz w:val="24"/>
          <w:szCs w:val="24"/>
          <w:lang w:val="en-US"/>
        </w:rPr>
        <w:t xml:space="preserve"> (</w:t>
      </w:r>
      <w:proofErr w:type="spellStart"/>
      <w:r w:rsidR="007F5DE7" w:rsidRPr="00541658">
        <w:rPr>
          <w:rFonts w:ascii="Times New Roman" w:hAnsi="Times New Roman" w:cs="Times New Roman"/>
          <w:sz w:val="24"/>
          <w:szCs w:val="24"/>
          <w:lang w:val="en-US"/>
        </w:rPr>
        <w:t>eg</w:t>
      </w:r>
      <w:r w:rsidR="00CA6ADF" w:rsidRPr="00541658">
        <w:rPr>
          <w:rFonts w:ascii="Times New Roman" w:hAnsi="Times New Roman" w:cs="Times New Roman"/>
          <w:sz w:val="24"/>
          <w:szCs w:val="24"/>
          <w:lang w:val="en-US"/>
        </w:rPr>
        <w:t>.</w:t>
      </w:r>
      <w:proofErr w:type="spellEnd"/>
      <w:r w:rsidR="0070746B" w:rsidRPr="00541658">
        <w:rPr>
          <w:rFonts w:ascii="Times New Roman" w:hAnsi="Times New Roman" w:cs="Times New Roman"/>
          <w:sz w:val="24"/>
          <w:szCs w:val="24"/>
          <w:lang w:val="en-US"/>
        </w:rPr>
        <w:t xml:space="preserve"> </w:t>
      </w:r>
      <w:r w:rsidR="004F3BC1" w:rsidRPr="00541658">
        <w:rPr>
          <w:rFonts w:ascii="Times New Roman" w:hAnsi="Times New Roman" w:cs="Times New Roman"/>
          <w:sz w:val="24"/>
          <w:szCs w:val="24"/>
          <w:lang w:val="en-US"/>
        </w:rPr>
        <w:t>p</w:t>
      </w:r>
      <w:r w:rsidR="0070746B" w:rsidRPr="00541658">
        <w:rPr>
          <w:rFonts w:ascii="Times New Roman" w:hAnsi="Times New Roman" w:cs="Times New Roman"/>
          <w:sz w:val="24"/>
          <w:szCs w:val="24"/>
          <w:lang w:val="en-US"/>
        </w:rPr>
        <w:t xml:space="preserve">ara </w:t>
      </w:r>
      <w:r w:rsidR="007F5DE7" w:rsidRPr="00541658">
        <w:rPr>
          <w:rFonts w:ascii="Times New Roman" w:hAnsi="Times New Roman" w:cs="Times New Roman"/>
          <w:sz w:val="24"/>
          <w:szCs w:val="24"/>
          <w:lang w:val="en-US"/>
        </w:rPr>
        <w:t>460</w:t>
      </w:r>
      <w:r w:rsidRPr="00541658">
        <w:rPr>
          <w:rFonts w:ascii="Times New Roman" w:hAnsi="Times New Roman" w:cs="Times New Roman"/>
          <w:sz w:val="24"/>
          <w:szCs w:val="24"/>
          <w:lang w:val="en-US"/>
        </w:rPr>
        <w:t>)</w:t>
      </w:r>
      <w:r w:rsidR="003C1A6B" w:rsidRPr="00541658">
        <w:rPr>
          <w:rFonts w:ascii="Times New Roman" w:hAnsi="Times New Roman" w:cs="Times New Roman"/>
          <w:sz w:val="24"/>
          <w:szCs w:val="24"/>
          <w:lang w:val="en-US"/>
        </w:rPr>
        <w:t xml:space="preserve">, while the Lithuanian parliamentary enquiry found </w:t>
      </w:r>
      <w:r w:rsidR="0070746B" w:rsidRPr="00541658">
        <w:rPr>
          <w:rFonts w:ascii="Times New Roman" w:hAnsi="Times New Roman" w:cs="Times New Roman"/>
          <w:sz w:val="24"/>
          <w:szCs w:val="24"/>
          <w:lang w:val="en-US"/>
        </w:rPr>
        <w:t>high-level</w:t>
      </w:r>
      <w:r w:rsidR="003C1A6B" w:rsidRPr="00541658">
        <w:rPr>
          <w:rFonts w:ascii="Times New Roman" w:hAnsi="Times New Roman" w:cs="Times New Roman"/>
          <w:sz w:val="24"/>
          <w:szCs w:val="24"/>
          <w:lang w:val="en-US"/>
        </w:rPr>
        <w:t xml:space="preserve"> agreement to establish two dwellings capable of </w:t>
      </w:r>
      <w:r w:rsidR="003C1A6B" w:rsidRPr="00541658">
        <w:rPr>
          <w:rFonts w:ascii="Times New Roman" w:hAnsi="Times New Roman" w:cs="Times New Roman"/>
          <w:sz w:val="24"/>
          <w:szCs w:val="24"/>
          <w:lang w:val="en-US"/>
        </w:rPr>
        <w:lastRenderedPageBreak/>
        <w:t>housing detainees</w:t>
      </w:r>
      <w:r w:rsidRPr="00541658">
        <w:rPr>
          <w:rFonts w:ascii="Times New Roman" w:hAnsi="Times New Roman" w:cs="Times New Roman"/>
          <w:sz w:val="24"/>
          <w:szCs w:val="24"/>
          <w:lang w:val="en-US"/>
        </w:rPr>
        <w:t xml:space="preserve"> (</w:t>
      </w:r>
      <w:r w:rsidR="0070746B" w:rsidRPr="00541658">
        <w:rPr>
          <w:rFonts w:ascii="Times New Roman" w:hAnsi="Times New Roman" w:cs="Times New Roman"/>
          <w:sz w:val="24"/>
          <w:szCs w:val="24"/>
          <w:lang w:val="en-US"/>
        </w:rPr>
        <w:t xml:space="preserve">para </w:t>
      </w:r>
      <w:r w:rsidRPr="00541658">
        <w:rPr>
          <w:rFonts w:ascii="Times New Roman" w:hAnsi="Times New Roman" w:cs="Times New Roman"/>
          <w:sz w:val="24"/>
          <w:szCs w:val="24"/>
          <w:lang w:val="en-US"/>
        </w:rPr>
        <w:t>553</w:t>
      </w:r>
      <w:r w:rsidR="003C1A6B"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 xml:space="preserve"> </w:t>
      </w:r>
      <w:r w:rsidR="00E97734" w:rsidRPr="00541658">
        <w:rPr>
          <w:rFonts w:ascii="Times New Roman" w:hAnsi="Times New Roman" w:cs="Times New Roman"/>
          <w:sz w:val="24"/>
          <w:szCs w:val="24"/>
          <w:lang w:val="en-US"/>
        </w:rPr>
        <w:t>“</w:t>
      </w:r>
      <w:r w:rsidR="003C1A6B" w:rsidRPr="00541658">
        <w:rPr>
          <w:rFonts w:ascii="Times New Roman" w:hAnsi="Times New Roman" w:cs="Times New Roman"/>
          <w:sz w:val="24"/>
          <w:szCs w:val="24"/>
          <w:lang w:val="en-US"/>
        </w:rPr>
        <w:t>Active cooperation</w:t>
      </w:r>
      <w:r w:rsidR="00E97734" w:rsidRPr="00541658">
        <w:rPr>
          <w:rFonts w:ascii="Times New Roman" w:hAnsi="Times New Roman" w:cs="Times New Roman"/>
          <w:sz w:val="24"/>
          <w:szCs w:val="24"/>
          <w:lang w:val="en-US"/>
        </w:rPr>
        <w:t>”</w:t>
      </w:r>
      <w:r w:rsidR="003C1A6B" w:rsidRPr="00541658">
        <w:rPr>
          <w:rFonts w:ascii="Times New Roman" w:hAnsi="Times New Roman" w:cs="Times New Roman"/>
          <w:sz w:val="24"/>
          <w:szCs w:val="24"/>
          <w:lang w:val="en-US"/>
        </w:rPr>
        <w:t xml:space="preserve"> also took the form of facilitating dummy flight plans - a </w:t>
      </w:r>
      <w:r w:rsidR="00E97734" w:rsidRPr="00541658">
        <w:rPr>
          <w:rFonts w:ascii="Times New Roman" w:hAnsi="Times New Roman" w:cs="Times New Roman"/>
          <w:sz w:val="24"/>
          <w:szCs w:val="24"/>
          <w:lang w:val="en-US"/>
        </w:rPr>
        <w:t>“</w:t>
      </w:r>
      <w:r w:rsidR="003C1A6B" w:rsidRPr="00541658">
        <w:rPr>
          <w:rFonts w:ascii="Times New Roman" w:hAnsi="Times New Roman" w:cs="Times New Roman"/>
          <w:sz w:val="24"/>
          <w:szCs w:val="24"/>
          <w:lang w:val="en-US"/>
        </w:rPr>
        <w:t>deliberate effort to cover up the CIA flights</w:t>
      </w:r>
      <w:r w:rsidR="00E97734" w:rsidRPr="00541658">
        <w:rPr>
          <w:rFonts w:ascii="Times New Roman" w:hAnsi="Times New Roman" w:cs="Times New Roman"/>
          <w:sz w:val="24"/>
          <w:szCs w:val="24"/>
          <w:lang w:val="en-US"/>
        </w:rPr>
        <w:t xml:space="preserve">” </w:t>
      </w:r>
      <w:r w:rsidR="003C1A6B" w:rsidRPr="00541658">
        <w:rPr>
          <w:rFonts w:ascii="Times New Roman" w:hAnsi="Times New Roman" w:cs="Times New Roman"/>
          <w:sz w:val="24"/>
          <w:szCs w:val="24"/>
          <w:lang w:val="en-US"/>
        </w:rPr>
        <w:t>(</w:t>
      </w:r>
      <w:r w:rsidR="0070746B" w:rsidRPr="00541658">
        <w:rPr>
          <w:rFonts w:ascii="Times New Roman" w:hAnsi="Times New Roman" w:cs="Times New Roman"/>
          <w:sz w:val="24"/>
          <w:szCs w:val="24"/>
          <w:lang w:val="en-US"/>
        </w:rPr>
        <w:t xml:space="preserve">para </w:t>
      </w:r>
      <w:r w:rsidR="003C1A6B" w:rsidRPr="00541658">
        <w:rPr>
          <w:rFonts w:ascii="Times New Roman" w:hAnsi="Times New Roman" w:cs="Times New Roman"/>
          <w:sz w:val="24"/>
          <w:szCs w:val="24"/>
          <w:lang w:val="en-US"/>
        </w:rPr>
        <w:t>560)</w:t>
      </w:r>
      <w:r w:rsidR="000A018A" w:rsidRPr="00541658">
        <w:rPr>
          <w:rFonts w:ascii="Times New Roman" w:hAnsi="Times New Roman" w:cs="Times New Roman"/>
          <w:sz w:val="24"/>
          <w:szCs w:val="24"/>
          <w:lang w:val="en-US"/>
        </w:rPr>
        <w:t xml:space="preserve">. </w:t>
      </w:r>
      <w:r w:rsidR="001D7976" w:rsidRPr="00541658">
        <w:rPr>
          <w:rFonts w:ascii="Times New Roman" w:hAnsi="Times New Roman" w:cs="Times New Roman"/>
          <w:sz w:val="24"/>
          <w:szCs w:val="24"/>
          <w:lang w:val="en-US"/>
        </w:rPr>
        <w:t>It was uncontested that CIA planes</w:t>
      </w:r>
      <w:r w:rsidR="000A018A" w:rsidRPr="00541658">
        <w:rPr>
          <w:rFonts w:ascii="Times New Roman" w:hAnsi="Times New Roman" w:cs="Times New Roman"/>
          <w:sz w:val="24"/>
          <w:szCs w:val="24"/>
          <w:lang w:val="en-US"/>
        </w:rPr>
        <w:t xml:space="preserve"> </w:t>
      </w:r>
      <w:r w:rsidR="001D7976" w:rsidRPr="00541658">
        <w:rPr>
          <w:rFonts w:ascii="Times New Roman" w:hAnsi="Times New Roman" w:cs="Times New Roman"/>
          <w:sz w:val="24"/>
          <w:szCs w:val="24"/>
          <w:lang w:val="en-US"/>
        </w:rPr>
        <w:t xml:space="preserve">landed </w:t>
      </w:r>
      <w:r w:rsidR="000A018A" w:rsidRPr="00541658">
        <w:rPr>
          <w:rFonts w:ascii="Times New Roman" w:hAnsi="Times New Roman" w:cs="Times New Roman"/>
          <w:sz w:val="24"/>
          <w:szCs w:val="24"/>
          <w:lang w:val="en-US"/>
        </w:rPr>
        <w:t xml:space="preserve">in Lithuania </w:t>
      </w:r>
      <w:r w:rsidR="001D7976" w:rsidRPr="00541658">
        <w:rPr>
          <w:rFonts w:ascii="Times New Roman" w:hAnsi="Times New Roman" w:cs="Times New Roman"/>
          <w:sz w:val="24"/>
          <w:szCs w:val="24"/>
          <w:lang w:val="en-US"/>
        </w:rPr>
        <w:t>with persons and cargo on board</w:t>
      </w:r>
      <w:r w:rsidR="000A018A" w:rsidRPr="00541658">
        <w:rPr>
          <w:rFonts w:ascii="Times New Roman" w:hAnsi="Times New Roman" w:cs="Times New Roman"/>
          <w:sz w:val="24"/>
          <w:szCs w:val="24"/>
          <w:lang w:val="en-US"/>
        </w:rPr>
        <w:t xml:space="preserve">, that normal </w:t>
      </w:r>
      <w:r w:rsidR="001D7976" w:rsidRPr="00541658">
        <w:rPr>
          <w:rFonts w:ascii="Times New Roman" w:hAnsi="Times New Roman" w:cs="Times New Roman"/>
          <w:sz w:val="24"/>
          <w:szCs w:val="24"/>
          <w:lang w:val="en-US"/>
        </w:rPr>
        <w:t xml:space="preserve">customs and </w:t>
      </w:r>
      <w:r w:rsidR="000A018A" w:rsidRPr="00541658">
        <w:rPr>
          <w:rFonts w:ascii="Times New Roman" w:hAnsi="Times New Roman" w:cs="Times New Roman"/>
          <w:sz w:val="24"/>
          <w:szCs w:val="24"/>
          <w:lang w:val="en-US"/>
        </w:rPr>
        <w:t>immigration controls were not applied</w:t>
      </w:r>
      <w:r w:rsidR="001D7976" w:rsidRPr="00541658">
        <w:rPr>
          <w:rFonts w:ascii="Times New Roman" w:hAnsi="Times New Roman" w:cs="Times New Roman"/>
          <w:sz w:val="24"/>
          <w:szCs w:val="24"/>
          <w:lang w:val="en-US"/>
        </w:rPr>
        <w:t xml:space="preserve"> (</w:t>
      </w:r>
      <w:r w:rsidR="0070746B" w:rsidRPr="00541658">
        <w:rPr>
          <w:rFonts w:ascii="Times New Roman" w:hAnsi="Times New Roman" w:cs="Times New Roman"/>
          <w:sz w:val="24"/>
          <w:szCs w:val="24"/>
          <w:lang w:val="en-US"/>
        </w:rPr>
        <w:t xml:space="preserve">para </w:t>
      </w:r>
      <w:r w:rsidR="001D7976" w:rsidRPr="00541658">
        <w:rPr>
          <w:rFonts w:ascii="Times New Roman" w:hAnsi="Times New Roman" w:cs="Times New Roman"/>
          <w:sz w:val="24"/>
          <w:szCs w:val="24"/>
          <w:lang w:val="en-US"/>
        </w:rPr>
        <w:t>562)</w:t>
      </w:r>
      <w:r w:rsidR="00402A37">
        <w:rPr>
          <w:rFonts w:ascii="Times New Roman" w:hAnsi="Times New Roman" w:cs="Times New Roman"/>
          <w:sz w:val="24"/>
          <w:szCs w:val="24"/>
          <w:lang w:val="en-US"/>
        </w:rPr>
        <w:t>,</w:t>
      </w:r>
      <w:r w:rsidR="004F3BC1" w:rsidRPr="00541658">
        <w:rPr>
          <w:rFonts w:ascii="Times New Roman" w:hAnsi="Times New Roman" w:cs="Times New Roman"/>
          <w:sz w:val="24"/>
          <w:szCs w:val="24"/>
          <w:lang w:val="en-US"/>
        </w:rPr>
        <w:t xml:space="preserve"> </w:t>
      </w:r>
      <w:r w:rsidR="00AA6593">
        <w:rPr>
          <w:rFonts w:ascii="Times New Roman" w:hAnsi="Times New Roman" w:cs="Times New Roman"/>
          <w:sz w:val="24"/>
          <w:szCs w:val="24"/>
          <w:lang w:val="en-US"/>
        </w:rPr>
        <w:t>and</w:t>
      </w:r>
      <w:r w:rsidR="00AA6593" w:rsidRPr="00541658">
        <w:rPr>
          <w:rFonts w:ascii="Times New Roman" w:hAnsi="Times New Roman" w:cs="Times New Roman"/>
          <w:sz w:val="24"/>
          <w:szCs w:val="24"/>
          <w:lang w:val="en-US"/>
        </w:rPr>
        <w:t xml:space="preserve"> </w:t>
      </w:r>
      <w:r w:rsidR="004F3BC1" w:rsidRPr="00541658">
        <w:rPr>
          <w:rFonts w:ascii="Times New Roman" w:hAnsi="Times New Roman" w:cs="Times New Roman"/>
          <w:sz w:val="24"/>
          <w:szCs w:val="24"/>
          <w:lang w:val="en-US"/>
        </w:rPr>
        <w:t>that</w:t>
      </w:r>
      <w:r w:rsidR="00402A37">
        <w:rPr>
          <w:rFonts w:ascii="Times New Roman" w:hAnsi="Times New Roman" w:cs="Times New Roman"/>
          <w:sz w:val="24"/>
          <w:szCs w:val="24"/>
          <w:lang w:val="en-US"/>
        </w:rPr>
        <w:t xml:space="preserve"> </w:t>
      </w:r>
      <w:r w:rsidR="000A018A" w:rsidRPr="00541658">
        <w:rPr>
          <w:rFonts w:ascii="Times New Roman" w:hAnsi="Times New Roman" w:cs="Times New Roman"/>
          <w:sz w:val="24"/>
          <w:szCs w:val="24"/>
          <w:lang w:val="en-US"/>
        </w:rPr>
        <w:t xml:space="preserve">logistical support was provided </w:t>
      </w:r>
      <w:r w:rsidR="004F3BC1" w:rsidRPr="00541658">
        <w:rPr>
          <w:rFonts w:ascii="Times New Roman" w:hAnsi="Times New Roman" w:cs="Times New Roman"/>
          <w:sz w:val="24"/>
          <w:szCs w:val="24"/>
          <w:lang w:val="en-US"/>
        </w:rPr>
        <w:t>with transfer</w:t>
      </w:r>
      <w:r w:rsidR="00AA6593">
        <w:rPr>
          <w:rFonts w:ascii="Times New Roman" w:hAnsi="Times New Roman" w:cs="Times New Roman"/>
          <w:sz w:val="24"/>
          <w:szCs w:val="24"/>
          <w:lang w:val="en-US"/>
        </w:rPr>
        <w:t>s</w:t>
      </w:r>
      <w:r w:rsidR="004F3BC1" w:rsidRPr="00541658">
        <w:rPr>
          <w:rFonts w:ascii="Times New Roman" w:hAnsi="Times New Roman" w:cs="Times New Roman"/>
          <w:sz w:val="24"/>
          <w:szCs w:val="24"/>
          <w:lang w:val="en-US"/>
        </w:rPr>
        <w:t xml:space="preserve"> to and from </w:t>
      </w:r>
      <w:r w:rsidR="001D7976" w:rsidRPr="00541658">
        <w:rPr>
          <w:rFonts w:ascii="Times New Roman" w:hAnsi="Times New Roman" w:cs="Times New Roman"/>
          <w:sz w:val="24"/>
          <w:szCs w:val="24"/>
          <w:lang w:val="en-US"/>
        </w:rPr>
        <w:t xml:space="preserve">the airport and </w:t>
      </w:r>
      <w:r w:rsidR="004F3BC1" w:rsidRPr="00541658">
        <w:rPr>
          <w:rFonts w:ascii="Times New Roman" w:hAnsi="Times New Roman" w:cs="Times New Roman"/>
          <w:sz w:val="24"/>
          <w:szCs w:val="24"/>
          <w:lang w:val="en-US"/>
        </w:rPr>
        <w:t>at the site. The Lithuanian role was</w:t>
      </w:r>
      <w:r w:rsidR="006B0D9E" w:rsidRPr="00541658">
        <w:rPr>
          <w:rFonts w:ascii="Times New Roman" w:hAnsi="Times New Roman" w:cs="Times New Roman"/>
          <w:sz w:val="24"/>
          <w:szCs w:val="24"/>
          <w:lang w:val="en-US"/>
        </w:rPr>
        <w:t xml:space="preserve"> supported by various sources of evidence including </w:t>
      </w:r>
      <w:r w:rsidR="006B0D9E" w:rsidRPr="00541658">
        <w:rPr>
          <w:rFonts w:ascii="Times New Roman" w:hAnsi="Times New Roman" w:cs="Times New Roman"/>
          <w:iCs/>
          <w:sz w:val="24"/>
          <w:szCs w:val="24"/>
          <w:lang w:val="en-US"/>
        </w:rPr>
        <w:t>from the truncated Lithuanian criminal investigation</w:t>
      </w:r>
      <w:r w:rsidR="00E52C37">
        <w:rPr>
          <w:rFonts w:ascii="Times New Roman" w:hAnsi="Times New Roman" w:cs="Times New Roman"/>
          <w:iCs/>
          <w:sz w:val="24"/>
          <w:szCs w:val="24"/>
          <w:lang w:val="en-US"/>
        </w:rPr>
        <w:t>,</w:t>
      </w:r>
      <w:r w:rsidR="004F3BC1" w:rsidRPr="00541658">
        <w:rPr>
          <w:rFonts w:ascii="Times New Roman" w:hAnsi="Times New Roman" w:cs="Times New Roman"/>
          <w:iCs/>
          <w:sz w:val="24"/>
          <w:szCs w:val="24"/>
          <w:lang w:val="en-US"/>
        </w:rPr>
        <w:t xml:space="preserve"> which as noted below the state relied upon in its </w:t>
      </w:r>
      <w:proofErr w:type="spellStart"/>
      <w:r w:rsidR="004F3BC1" w:rsidRPr="00541658">
        <w:rPr>
          <w:rFonts w:ascii="Times New Roman" w:hAnsi="Times New Roman" w:cs="Times New Roman"/>
          <w:iCs/>
          <w:sz w:val="24"/>
          <w:szCs w:val="24"/>
          <w:lang w:val="en-US"/>
        </w:rPr>
        <w:t>defence</w:t>
      </w:r>
      <w:proofErr w:type="spellEnd"/>
      <w:r w:rsidR="006B0D9E" w:rsidRPr="00541658">
        <w:rPr>
          <w:rFonts w:ascii="Times New Roman" w:hAnsi="Times New Roman" w:cs="Times New Roman"/>
          <w:iCs/>
          <w:sz w:val="24"/>
          <w:szCs w:val="24"/>
          <w:lang w:val="en-US"/>
        </w:rPr>
        <w:t xml:space="preserve"> (</w:t>
      </w:r>
      <w:r w:rsidR="0070746B" w:rsidRPr="00541658">
        <w:rPr>
          <w:rFonts w:ascii="Times New Roman" w:hAnsi="Times New Roman" w:cs="Times New Roman"/>
          <w:iCs/>
          <w:sz w:val="24"/>
          <w:szCs w:val="24"/>
          <w:lang w:val="en-US"/>
        </w:rPr>
        <w:t xml:space="preserve">para </w:t>
      </w:r>
      <w:r w:rsidR="006B0D9E" w:rsidRPr="00541658">
        <w:rPr>
          <w:rFonts w:ascii="Times New Roman" w:hAnsi="Times New Roman" w:cs="Times New Roman"/>
          <w:iCs/>
          <w:sz w:val="24"/>
          <w:szCs w:val="24"/>
          <w:lang w:val="en-US"/>
        </w:rPr>
        <w:t>522).</w:t>
      </w:r>
    </w:p>
    <w:p w14:paraId="11B690EF" w14:textId="77777777" w:rsidR="00D062FB" w:rsidRDefault="00E82C66" w:rsidP="00541658">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The</w:t>
      </w:r>
      <w:r w:rsidR="001D7976" w:rsidRPr="00541658">
        <w:rPr>
          <w:rFonts w:ascii="Times New Roman" w:hAnsi="Times New Roman" w:cs="Times New Roman"/>
          <w:sz w:val="24"/>
          <w:szCs w:val="24"/>
          <w:lang w:val="en-US"/>
        </w:rPr>
        <w:t xml:space="preserve"> Court </w:t>
      </w:r>
      <w:r w:rsidRPr="00541658">
        <w:rPr>
          <w:rFonts w:ascii="Times New Roman" w:hAnsi="Times New Roman" w:cs="Times New Roman"/>
          <w:sz w:val="24"/>
          <w:szCs w:val="24"/>
          <w:lang w:val="en-US"/>
        </w:rPr>
        <w:t>considered</w:t>
      </w:r>
      <w:r w:rsidR="001D7976" w:rsidRPr="00541658">
        <w:rPr>
          <w:rFonts w:ascii="Times New Roman" w:hAnsi="Times New Roman" w:cs="Times New Roman"/>
          <w:sz w:val="24"/>
          <w:szCs w:val="24"/>
          <w:lang w:val="en-US"/>
        </w:rPr>
        <w:t xml:space="preserve"> the </w:t>
      </w:r>
      <w:r w:rsidRPr="00541658">
        <w:rPr>
          <w:rFonts w:ascii="Times New Roman" w:hAnsi="Times New Roman" w:cs="Times New Roman"/>
          <w:sz w:val="24"/>
          <w:szCs w:val="24"/>
          <w:lang w:val="en-US"/>
        </w:rPr>
        <w:t xml:space="preserve">information </w:t>
      </w:r>
      <w:r w:rsidR="00BE61DF" w:rsidRPr="00541658">
        <w:rPr>
          <w:rFonts w:ascii="Times New Roman" w:hAnsi="Times New Roman" w:cs="Times New Roman"/>
          <w:sz w:val="24"/>
          <w:szCs w:val="24"/>
          <w:lang w:val="en-US"/>
        </w:rPr>
        <w:t xml:space="preserve">in the </w:t>
      </w:r>
      <w:r w:rsidRPr="00541658">
        <w:rPr>
          <w:rFonts w:ascii="Times New Roman" w:hAnsi="Times New Roman" w:cs="Times New Roman"/>
          <w:sz w:val="24"/>
          <w:szCs w:val="24"/>
          <w:lang w:val="en-US"/>
        </w:rPr>
        <w:t>public</w:t>
      </w:r>
      <w:r w:rsidR="00BE61DF" w:rsidRPr="00541658">
        <w:rPr>
          <w:rFonts w:ascii="Times New Roman" w:hAnsi="Times New Roman" w:cs="Times New Roman"/>
          <w:sz w:val="24"/>
          <w:szCs w:val="24"/>
          <w:lang w:val="en-US"/>
        </w:rPr>
        <w:t xml:space="preserve"> domain by </w:t>
      </w:r>
      <w:r w:rsidRPr="00541658">
        <w:rPr>
          <w:rFonts w:ascii="Times New Roman" w:hAnsi="Times New Roman" w:cs="Times New Roman"/>
          <w:sz w:val="24"/>
          <w:szCs w:val="24"/>
          <w:lang w:val="en-US"/>
        </w:rPr>
        <w:t>2005/6</w:t>
      </w:r>
      <w:r w:rsidR="001D7976" w:rsidRPr="00541658">
        <w:rPr>
          <w:rFonts w:ascii="Times New Roman" w:hAnsi="Times New Roman" w:cs="Times New Roman"/>
          <w:sz w:val="24"/>
          <w:szCs w:val="24"/>
          <w:lang w:val="en-US"/>
        </w:rPr>
        <w:t xml:space="preserve">, specific </w:t>
      </w:r>
      <w:r w:rsidR="006B0D9E" w:rsidRPr="00541658">
        <w:rPr>
          <w:rFonts w:ascii="Times New Roman" w:hAnsi="Times New Roman" w:cs="Times New Roman"/>
          <w:sz w:val="24"/>
          <w:szCs w:val="24"/>
          <w:lang w:val="en-US"/>
        </w:rPr>
        <w:t xml:space="preserve">evidence </w:t>
      </w:r>
      <w:r w:rsidR="004F3BC1" w:rsidRPr="00541658">
        <w:rPr>
          <w:rFonts w:ascii="Times New Roman" w:hAnsi="Times New Roman" w:cs="Times New Roman"/>
          <w:sz w:val="24"/>
          <w:szCs w:val="24"/>
          <w:lang w:val="en-US"/>
        </w:rPr>
        <w:t>of</w:t>
      </w:r>
      <w:r w:rsidR="00147577" w:rsidRPr="00541658">
        <w:rPr>
          <w:rFonts w:ascii="Times New Roman" w:hAnsi="Times New Roman" w:cs="Times New Roman"/>
          <w:sz w:val="24"/>
          <w:szCs w:val="24"/>
          <w:lang w:val="en-US"/>
        </w:rPr>
        <w:t xml:space="preserve"> </w:t>
      </w:r>
      <w:r w:rsidR="00562B09" w:rsidRPr="00541658">
        <w:rPr>
          <w:rFonts w:ascii="Times New Roman" w:hAnsi="Times New Roman" w:cs="Times New Roman"/>
          <w:sz w:val="24"/>
          <w:szCs w:val="24"/>
          <w:lang w:val="en-US"/>
        </w:rPr>
        <w:t>knowledge</w:t>
      </w:r>
      <w:r w:rsidRPr="00541658">
        <w:rPr>
          <w:rFonts w:ascii="Times New Roman" w:hAnsi="Times New Roman" w:cs="Times New Roman"/>
          <w:sz w:val="24"/>
          <w:szCs w:val="24"/>
          <w:lang w:val="en-US"/>
        </w:rPr>
        <w:t xml:space="preserve">, and the </w:t>
      </w:r>
      <w:r w:rsidR="00BE61DF" w:rsidRPr="00541658">
        <w:rPr>
          <w:rFonts w:ascii="Times New Roman" w:hAnsi="Times New Roman" w:cs="Times New Roman"/>
          <w:sz w:val="24"/>
          <w:szCs w:val="24"/>
          <w:lang w:val="en-US"/>
        </w:rPr>
        <w:t>circumstances of the</w:t>
      </w:r>
      <w:r w:rsidRPr="00541658">
        <w:rPr>
          <w:rFonts w:ascii="Times New Roman" w:hAnsi="Times New Roman" w:cs="Times New Roman"/>
          <w:sz w:val="24"/>
          <w:szCs w:val="24"/>
          <w:lang w:val="en-US"/>
        </w:rPr>
        <w:t xml:space="preserve"> cooperation</w:t>
      </w:r>
      <w:r w:rsidR="00BE61DF"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to conclude </w:t>
      </w:r>
      <w:r w:rsidR="001D7976" w:rsidRPr="00541658">
        <w:rPr>
          <w:rFonts w:ascii="Times New Roman" w:hAnsi="Times New Roman" w:cs="Times New Roman"/>
          <w:sz w:val="24"/>
          <w:szCs w:val="24"/>
          <w:lang w:val="en-US"/>
        </w:rPr>
        <w:t>categorically that Lithuania knew the CIA operated a detention facility on its soil (571-)</w:t>
      </w:r>
      <w:r w:rsidR="00BE61DF" w:rsidRPr="00541658">
        <w:rPr>
          <w:rFonts w:ascii="Times New Roman" w:hAnsi="Times New Roman" w:cs="Times New Roman"/>
          <w:sz w:val="24"/>
          <w:szCs w:val="24"/>
          <w:lang w:val="en-US"/>
        </w:rPr>
        <w:t>.</w:t>
      </w:r>
      <w:r w:rsidR="001D7976" w:rsidRPr="00541658">
        <w:rPr>
          <w:rFonts w:ascii="Times New Roman" w:hAnsi="Times New Roman" w:cs="Times New Roman"/>
          <w:sz w:val="24"/>
          <w:szCs w:val="24"/>
          <w:lang w:val="en-US"/>
        </w:rPr>
        <w:t xml:space="preserve"> </w:t>
      </w:r>
      <w:r w:rsidR="004F3BC1" w:rsidRPr="00541658">
        <w:rPr>
          <w:rFonts w:ascii="Times New Roman" w:hAnsi="Times New Roman" w:cs="Times New Roman"/>
          <w:sz w:val="24"/>
          <w:szCs w:val="24"/>
          <w:lang w:val="en-US"/>
        </w:rPr>
        <w:t>Despite its knowledge, the state “</w:t>
      </w:r>
      <w:r w:rsidR="004F3BC1" w:rsidRPr="00541658">
        <w:rPr>
          <w:rFonts w:ascii="Times New Roman" w:hAnsi="Times New Roman" w:cs="Times New Roman"/>
          <w:i/>
          <w:sz w:val="24"/>
          <w:szCs w:val="24"/>
          <w:lang w:val="en-US"/>
        </w:rPr>
        <w:t>cooperated in the preparation and execution of the CIA rendition” (para 576)</w:t>
      </w:r>
      <w:r w:rsidR="004F3BC1" w:rsidRPr="00541658">
        <w:rPr>
          <w:rFonts w:ascii="Times New Roman" w:hAnsi="Times New Roman" w:cs="Times New Roman"/>
          <w:sz w:val="24"/>
          <w:szCs w:val="24"/>
          <w:lang w:val="en-US"/>
        </w:rPr>
        <w:t>,</w:t>
      </w:r>
      <w:r w:rsidR="004F3BC1" w:rsidRPr="00541658">
        <w:rPr>
          <w:rFonts w:ascii="Times New Roman" w:hAnsi="Times New Roman" w:cs="Times New Roman"/>
          <w:i/>
          <w:sz w:val="24"/>
          <w:szCs w:val="24"/>
          <w:lang w:val="en-US"/>
        </w:rPr>
        <w:t xml:space="preserve">“facilitated the whole process of the operation of the HVD </w:t>
      </w:r>
      <w:proofErr w:type="spellStart"/>
      <w:r w:rsidR="004F3BC1" w:rsidRPr="00541658">
        <w:rPr>
          <w:rFonts w:ascii="Times New Roman" w:hAnsi="Times New Roman" w:cs="Times New Roman"/>
          <w:i/>
          <w:sz w:val="24"/>
          <w:szCs w:val="24"/>
          <w:lang w:val="en-US"/>
        </w:rPr>
        <w:t>programme</w:t>
      </w:r>
      <w:proofErr w:type="spellEnd"/>
      <w:r w:rsidR="004F3BC1" w:rsidRPr="00541658">
        <w:rPr>
          <w:rFonts w:ascii="Times New Roman" w:hAnsi="Times New Roman" w:cs="Times New Roman"/>
          <w:i/>
          <w:sz w:val="24"/>
          <w:szCs w:val="24"/>
          <w:lang w:val="en-US"/>
        </w:rPr>
        <w:t xml:space="preserve"> on their territory, created the conditions for it to happen and made no attempt to prevent it from occurring” (</w:t>
      </w:r>
      <w:r w:rsidR="004F3BC1" w:rsidRPr="00541658">
        <w:rPr>
          <w:rFonts w:ascii="Times New Roman" w:hAnsi="Times New Roman" w:cs="Times New Roman"/>
          <w:sz w:val="24"/>
          <w:szCs w:val="24"/>
          <w:lang w:val="en-US"/>
        </w:rPr>
        <w:t>para</w:t>
      </w:r>
      <w:r w:rsidR="004F3BC1" w:rsidRPr="00541658">
        <w:rPr>
          <w:rFonts w:ascii="Times New Roman" w:hAnsi="Times New Roman" w:cs="Times New Roman"/>
          <w:i/>
          <w:sz w:val="24"/>
          <w:szCs w:val="24"/>
          <w:lang w:val="en-US"/>
        </w:rPr>
        <w:t xml:space="preserve"> 642).</w:t>
      </w:r>
      <w:r w:rsidR="00232F37">
        <w:rPr>
          <w:rFonts w:ascii="Times New Roman" w:hAnsi="Times New Roman" w:cs="Times New Roman"/>
          <w:sz w:val="24"/>
          <w:szCs w:val="24"/>
          <w:lang w:val="en-US"/>
        </w:rPr>
        <w:t xml:space="preserve"> </w:t>
      </w:r>
    </w:p>
    <w:p w14:paraId="4EA14F09" w14:textId="77777777" w:rsidR="00D062FB" w:rsidRDefault="00D062FB" w:rsidP="00541658">
      <w:pPr>
        <w:spacing w:after="0" w:line="240" w:lineRule="auto"/>
        <w:jc w:val="both"/>
        <w:rPr>
          <w:rFonts w:ascii="Times New Roman" w:hAnsi="Times New Roman" w:cs="Times New Roman"/>
          <w:sz w:val="24"/>
          <w:szCs w:val="24"/>
          <w:lang w:val="en-US"/>
        </w:rPr>
      </w:pPr>
    </w:p>
    <w:p w14:paraId="118EF014" w14:textId="23E2CB63" w:rsidR="006B0D9E" w:rsidRPr="00541658" w:rsidRDefault="001D7976" w:rsidP="00541658">
      <w:pPr>
        <w:spacing w:after="0" w:line="240" w:lineRule="auto"/>
        <w:jc w:val="both"/>
        <w:rPr>
          <w:rFonts w:ascii="Times New Roman" w:hAnsi="Times New Roman" w:cs="Times New Roman"/>
          <w:i/>
          <w:sz w:val="24"/>
          <w:szCs w:val="24"/>
          <w:lang w:val="en-US"/>
        </w:rPr>
      </w:pPr>
      <w:r w:rsidRPr="00541658">
        <w:rPr>
          <w:rFonts w:ascii="Times New Roman" w:hAnsi="Times New Roman" w:cs="Times New Roman"/>
          <w:sz w:val="24"/>
          <w:szCs w:val="24"/>
          <w:lang w:val="en-US"/>
        </w:rPr>
        <w:t xml:space="preserve">Whether </w:t>
      </w:r>
      <w:r w:rsidRPr="00541658">
        <w:rPr>
          <w:rFonts w:ascii="Times New Roman" w:hAnsi="Times New Roman" w:cs="Times New Roman"/>
          <w:i/>
          <w:iCs/>
          <w:sz w:val="24"/>
          <w:szCs w:val="24"/>
          <w:lang w:val="en-US"/>
        </w:rPr>
        <w:t>all</w:t>
      </w:r>
      <w:r w:rsidRPr="00541658">
        <w:rPr>
          <w:rFonts w:ascii="Times New Roman" w:hAnsi="Times New Roman" w:cs="Times New Roman"/>
          <w:sz w:val="24"/>
          <w:szCs w:val="24"/>
          <w:lang w:val="en-US"/>
        </w:rPr>
        <w:t xml:space="preserve"> </w:t>
      </w:r>
      <w:r w:rsidR="004F3BC1" w:rsidRPr="00541658">
        <w:rPr>
          <w:rFonts w:ascii="Times New Roman" w:hAnsi="Times New Roman" w:cs="Times New Roman"/>
          <w:sz w:val="24"/>
          <w:szCs w:val="24"/>
          <w:lang w:val="en-US"/>
        </w:rPr>
        <w:t xml:space="preserve">relevant actors </w:t>
      </w:r>
      <w:r w:rsidRPr="00541658">
        <w:rPr>
          <w:rFonts w:ascii="Times New Roman" w:hAnsi="Times New Roman" w:cs="Times New Roman"/>
          <w:sz w:val="24"/>
          <w:szCs w:val="24"/>
          <w:lang w:val="en-US"/>
        </w:rPr>
        <w:t xml:space="preserve">knew, and whether they knew </w:t>
      </w:r>
      <w:r w:rsidRPr="00541658">
        <w:rPr>
          <w:rFonts w:ascii="Times New Roman" w:hAnsi="Times New Roman" w:cs="Times New Roman"/>
          <w:i/>
          <w:iCs/>
          <w:sz w:val="24"/>
          <w:szCs w:val="24"/>
          <w:lang w:val="en-US"/>
        </w:rPr>
        <w:t>all</w:t>
      </w:r>
      <w:r w:rsidRPr="00541658">
        <w:rPr>
          <w:rFonts w:ascii="Times New Roman" w:hAnsi="Times New Roman" w:cs="Times New Roman"/>
          <w:sz w:val="24"/>
          <w:szCs w:val="24"/>
          <w:lang w:val="en-US"/>
        </w:rPr>
        <w:t xml:space="preserve"> the details, </w:t>
      </w:r>
      <w:r w:rsidR="00E97734" w:rsidRPr="00541658">
        <w:rPr>
          <w:rFonts w:ascii="Times New Roman" w:hAnsi="Times New Roman" w:cs="Times New Roman"/>
          <w:sz w:val="24"/>
          <w:szCs w:val="24"/>
          <w:lang w:val="en-US"/>
        </w:rPr>
        <w:t xml:space="preserve">was </w:t>
      </w:r>
      <w:r w:rsidRPr="00541658">
        <w:rPr>
          <w:rFonts w:ascii="Times New Roman" w:hAnsi="Times New Roman" w:cs="Times New Roman"/>
          <w:sz w:val="24"/>
          <w:szCs w:val="24"/>
          <w:lang w:val="en-US"/>
        </w:rPr>
        <w:t xml:space="preserve">immaterial. </w:t>
      </w:r>
      <w:r w:rsidR="00147577" w:rsidRPr="00541658">
        <w:rPr>
          <w:rFonts w:ascii="Times New Roman" w:hAnsi="Times New Roman" w:cs="Times New Roman"/>
          <w:sz w:val="24"/>
          <w:szCs w:val="24"/>
          <w:lang w:val="en-US"/>
        </w:rPr>
        <w:t>As</w:t>
      </w:r>
      <w:r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 xml:space="preserve">was the case in </w:t>
      </w:r>
      <w:r w:rsidRPr="00541658">
        <w:rPr>
          <w:rFonts w:ascii="Times New Roman" w:hAnsi="Times New Roman" w:cs="Times New Roman"/>
          <w:sz w:val="24"/>
          <w:szCs w:val="24"/>
          <w:lang w:val="en-US"/>
        </w:rPr>
        <w:t xml:space="preserve">Poland, it was </w:t>
      </w:r>
      <w:r w:rsidR="00E97734" w:rsidRPr="00541658">
        <w:rPr>
          <w:rFonts w:ascii="Times New Roman" w:hAnsi="Times New Roman" w:cs="Times New Roman"/>
          <w:sz w:val="24"/>
          <w:szCs w:val="24"/>
          <w:lang w:val="en-US"/>
        </w:rPr>
        <w:t>“</w:t>
      </w:r>
      <w:r w:rsidRPr="00541658">
        <w:rPr>
          <w:rFonts w:ascii="Times New Roman" w:hAnsi="Times New Roman" w:cs="Times New Roman"/>
          <w:i/>
          <w:sz w:val="24"/>
          <w:szCs w:val="24"/>
          <w:lang w:val="en-US"/>
        </w:rPr>
        <w:t xml:space="preserve">inconceivable that the rendition aircraft could have crossed the country’s airspace, landed at and departed from its airports, or that the CIA could have occupied the premises offered by the national authorities and transported detainees there, without the State authorities being informed of or involved in the preparation and execution of the HVD </w:t>
      </w:r>
      <w:proofErr w:type="spellStart"/>
      <w:r w:rsidRPr="00541658">
        <w:rPr>
          <w:rFonts w:ascii="Times New Roman" w:hAnsi="Times New Roman" w:cs="Times New Roman"/>
          <w:i/>
          <w:sz w:val="24"/>
          <w:szCs w:val="24"/>
          <w:lang w:val="en-US"/>
        </w:rPr>
        <w:t>Programme</w:t>
      </w:r>
      <w:proofErr w:type="spellEnd"/>
      <w:r w:rsidRPr="00541658">
        <w:rPr>
          <w:rFonts w:ascii="Times New Roman" w:hAnsi="Times New Roman" w:cs="Times New Roman"/>
          <w:i/>
          <w:sz w:val="24"/>
          <w:szCs w:val="24"/>
          <w:lang w:val="en-US"/>
        </w:rPr>
        <w:t xml:space="preserve"> on their territory. Nor can it stand to reason that activities of such character and scale, possibly vital for the country’s military and political interests, could have been undertaken on Lithuanian territory without the Lithuanian authorities’ knowledge and without the necessary </w:t>
      </w:r>
      <w:proofErr w:type="spellStart"/>
      <w:r w:rsidRPr="00541658">
        <w:rPr>
          <w:rFonts w:ascii="Times New Roman" w:hAnsi="Times New Roman" w:cs="Times New Roman"/>
          <w:i/>
          <w:sz w:val="24"/>
          <w:szCs w:val="24"/>
          <w:lang w:val="en-US"/>
        </w:rPr>
        <w:t>authorisation</w:t>
      </w:r>
      <w:proofErr w:type="spellEnd"/>
      <w:r w:rsidRPr="00541658">
        <w:rPr>
          <w:rFonts w:ascii="Times New Roman" w:hAnsi="Times New Roman" w:cs="Times New Roman"/>
          <w:i/>
          <w:sz w:val="24"/>
          <w:szCs w:val="24"/>
          <w:lang w:val="en-US"/>
        </w:rPr>
        <w:t xml:space="preserve"> and assistance being given at the appropriate level of the State”</w:t>
      </w:r>
      <w:r w:rsidR="00E97734" w:rsidRPr="00541658">
        <w:rPr>
          <w:rFonts w:ascii="Times New Roman" w:hAnsi="Times New Roman" w:cs="Times New Roman"/>
          <w:i/>
          <w:sz w:val="24"/>
          <w:szCs w:val="24"/>
          <w:lang w:val="en-US"/>
        </w:rPr>
        <w:t xml:space="preserve"> </w:t>
      </w:r>
      <w:r w:rsidR="00E97734" w:rsidRPr="00541658">
        <w:rPr>
          <w:rFonts w:ascii="Times New Roman" w:hAnsi="Times New Roman" w:cs="Times New Roman"/>
          <w:sz w:val="24"/>
          <w:szCs w:val="24"/>
          <w:lang w:val="en-US"/>
        </w:rPr>
        <w:t>(para 575).</w:t>
      </w:r>
      <w:r w:rsidRPr="00541658">
        <w:rPr>
          <w:rFonts w:ascii="Times New Roman" w:hAnsi="Times New Roman" w:cs="Times New Roman"/>
          <w:i/>
          <w:sz w:val="24"/>
          <w:szCs w:val="24"/>
          <w:lang w:val="en-US"/>
        </w:rPr>
        <w:t xml:space="preserve"> </w:t>
      </w:r>
      <w:r w:rsidR="00BE61DF" w:rsidRPr="00541658">
        <w:rPr>
          <w:rFonts w:ascii="Times New Roman" w:hAnsi="Times New Roman" w:cs="Times New Roman"/>
          <w:iCs/>
          <w:sz w:val="24"/>
          <w:szCs w:val="24"/>
          <w:lang w:val="en-US"/>
        </w:rPr>
        <w:t>It was</w:t>
      </w:r>
      <w:r w:rsidR="00147577" w:rsidRPr="00541658">
        <w:rPr>
          <w:rFonts w:ascii="Times New Roman" w:hAnsi="Times New Roman" w:cs="Times New Roman"/>
          <w:iCs/>
          <w:sz w:val="24"/>
          <w:szCs w:val="24"/>
          <w:lang w:val="en-US"/>
        </w:rPr>
        <w:t xml:space="preserve"> likewise </w:t>
      </w:r>
      <w:r w:rsidR="00187C05" w:rsidRPr="00541658">
        <w:rPr>
          <w:rFonts w:ascii="Times New Roman" w:hAnsi="Times New Roman" w:cs="Times New Roman"/>
          <w:iCs/>
          <w:sz w:val="24"/>
          <w:szCs w:val="24"/>
          <w:lang w:val="en-US"/>
        </w:rPr>
        <w:t>“</w:t>
      </w:r>
      <w:r w:rsidR="00147577" w:rsidRPr="00541658">
        <w:rPr>
          <w:rFonts w:ascii="Times New Roman" w:hAnsi="Times New Roman" w:cs="Times New Roman"/>
          <w:iCs/>
          <w:sz w:val="24"/>
          <w:szCs w:val="24"/>
          <w:lang w:val="en-US"/>
        </w:rPr>
        <w:t>inconceivable</w:t>
      </w:r>
      <w:r w:rsidR="00187C05" w:rsidRPr="00541658">
        <w:rPr>
          <w:rFonts w:ascii="Times New Roman" w:hAnsi="Times New Roman" w:cs="Times New Roman"/>
          <w:iCs/>
          <w:sz w:val="24"/>
          <w:szCs w:val="24"/>
          <w:lang w:val="en-US"/>
        </w:rPr>
        <w:t>”</w:t>
      </w:r>
      <w:r w:rsidR="00147577" w:rsidRPr="00541658">
        <w:rPr>
          <w:rFonts w:ascii="Times New Roman" w:hAnsi="Times New Roman" w:cs="Times New Roman"/>
          <w:iCs/>
          <w:sz w:val="24"/>
          <w:szCs w:val="24"/>
          <w:lang w:val="en-US"/>
        </w:rPr>
        <w:t xml:space="preserve"> that </w:t>
      </w:r>
      <w:r w:rsidR="006B0D9E" w:rsidRPr="00541658">
        <w:rPr>
          <w:rFonts w:ascii="Times New Roman" w:hAnsi="Times New Roman" w:cs="Times New Roman"/>
          <w:iCs/>
          <w:sz w:val="24"/>
          <w:szCs w:val="24"/>
          <w:lang w:val="en-US"/>
        </w:rPr>
        <w:t xml:space="preserve">facilitation and </w:t>
      </w:r>
      <w:r w:rsidR="00232F37">
        <w:rPr>
          <w:rFonts w:ascii="Times New Roman" w:hAnsi="Times New Roman" w:cs="Times New Roman"/>
          <w:iCs/>
          <w:sz w:val="24"/>
          <w:szCs w:val="24"/>
          <w:lang w:val="en-US"/>
        </w:rPr>
        <w:t xml:space="preserve">transportation </w:t>
      </w:r>
      <w:r w:rsidR="006B0D9E" w:rsidRPr="00541658">
        <w:rPr>
          <w:rFonts w:ascii="Times New Roman" w:hAnsi="Times New Roman" w:cs="Times New Roman"/>
          <w:iCs/>
          <w:sz w:val="24"/>
          <w:szCs w:val="24"/>
          <w:lang w:val="en-US"/>
        </w:rPr>
        <w:t xml:space="preserve">support </w:t>
      </w:r>
      <w:r w:rsidR="00BE61DF" w:rsidRPr="00541658">
        <w:rPr>
          <w:rFonts w:ascii="Times New Roman" w:hAnsi="Times New Roman" w:cs="Times New Roman"/>
          <w:iCs/>
          <w:sz w:val="24"/>
          <w:szCs w:val="24"/>
          <w:lang w:val="en-US"/>
        </w:rPr>
        <w:t xml:space="preserve">could have been provided without </w:t>
      </w:r>
      <w:r w:rsidR="00147577" w:rsidRPr="00541658">
        <w:rPr>
          <w:rFonts w:ascii="Times New Roman" w:hAnsi="Times New Roman" w:cs="Times New Roman"/>
          <w:iCs/>
          <w:sz w:val="24"/>
          <w:szCs w:val="24"/>
          <w:lang w:val="en-US"/>
        </w:rPr>
        <w:t xml:space="preserve">any awareness </w:t>
      </w:r>
      <w:r w:rsidR="00232F37">
        <w:rPr>
          <w:rFonts w:ascii="Times New Roman" w:hAnsi="Times New Roman" w:cs="Times New Roman"/>
          <w:iCs/>
          <w:sz w:val="24"/>
          <w:szCs w:val="24"/>
          <w:lang w:val="en-US"/>
        </w:rPr>
        <w:t xml:space="preserve">of prisoners being </w:t>
      </w:r>
      <w:r w:rsidR="00147577" w:rsidRPr="00541658">
        <w:rPr>
          <w:rFonts w:ascii="Times New Roman" w:hAnsi="Times New Roman" w:cs="Times New Roman"/>
          <w:iCs/>
          <w:sz w:val="24"/>
          <w:szCs w:val="24"/>
          <w:lang w:val="en-US"/>
        </w:rPr>
        <w:t>brought in</w:t>
      </w:r>
      <w:r w:rsidR="00232F37">
        <w:rPr>
          <w:rFonts w:ascii="Times New Roman" w:hAnsi="Times New Roman" w:cs="Times New Roman"/>
          <w:iCs/>
          <w:sz w:val="24"/>
          <w:szCs w:val="24"/>
          <w:lang w:val="en-US"/>
        </w:rPr>
        <w:t>.</w:t>
      </w:r>
      <w:r w:rsidR="00147577" w:rsidRPr="00541658">
        <w:rPr>
          <w:rFonts w:ascii="Times New Roman" w:hAnsi="Times New Roman" w:cs="Times New Roman"/>
          <w:iCs/>
          <w:sz w:val="24"/>
          <w:szCs w:val="24"/>
          <w:lang w:val="en-US"/>
        </w:rPr>
        <w:t xml:space="preserve"> </w:t>
      </w:r>
    </w:p>
    <w:p w14:paraId="339CD8ED" w14:textId="77777777" w:rsidR="006B0D9E" w:rsidRPr="00541658" w:rsidRDefault="006B0D9E" w:rsidP="00AE68B2">
      <w:pPr>
        <w:spacing w:after="0" w:line="240" w:lineRule="auto"/>
        <w:jc w:val="both"/>
        <w:rPr>
          <w:rFonts w:ascii="Times New Roman" w:hAnsi="Times New Roman" w:cs="Times New Roman"/>
          <w:sz w:val="24"/>
          <w:szCs w:val="24"/>
          <w:lang w:val="en-US"/>
        </w:rPr>
      </w:pPr>
    </w:p>
    <w:p w14:paraId="5F4669C3" w14:textId="565860C0" w:rsidR="008E44FD" w:rsidRDefault="00BE61DF" w:rsidP="00541658">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Court’s </w:t>
      </w:r>
      <w:r w:rsidR="00262A9F" w:rsidRPr="00541658">
        <w:rPr>
          <w:rFonts w:ascii="Times New Roman" w:hAnsi="Times New Roman" w:cs="Times New Roman"/>
          <w:sz w:val="24"/>
          <w:szCs w:val="24"/>
          <w:lang w:val="en-US"/>
        </w:rPr>
        <w:t xml:space="preserve">approach to evidence and </w:t>
      </w:r>
      <w:r w:rsidR="00545785" w:rsidRPr="00541658">
        <w:rPr>
          <w:rFonts w:ascii="Times New Roman" w:hAnsi="Times New Roman" w:cs="Times New Roman"/>
          <w:sz w:val="24"/>
          <w:szCs w:val="24"/>
          <w:lang w:val="en-US"/>
        </w:rPr>
        <w:t xml:space="preserve">the burden of </w:t>
      </w:r>
      <w:r w:rsidR="00262A9F" w:rsidRPr="00541658">
        <w:rPr>
          <w:rFonts w:ascii="Times New Roman" w:hAnsi="Times New Roman" w:cs="Times New Roman"/>
          <w:sz w:val="24"/>
          <w:szCs w:val="24"/>
          <w:lang w:val="en-US"/>
        </w:rPr>
        <w:t xml:space="preserve">proof is </w:t>
      </w:r>
      <w:r w:rsidRPr="00541658">
        <w:rPr>
          <w:rFonts w:ascii="Times New Roman" w:hAnsi="Times New Roman" w:cs="Times New Roman"/>
          <w:sz w:val="24"/>
          <w:szCs w:val="24"/>
          <w:lang w:val="en-US"/>
        </w:rPr>
        <w:t>worth noting.</w:t>
      </w:r>
      <w:r w:rsidR="00262A9F" w:rsidRPr="00541658">
        <w:rPr>
          <w:rFonts w:ascii="Times New Roman" w:hAnsi="Times New Roman" w:cs="Times New Roman"/>
          <w:sz w:val="24"/>
          <w:szCs w:val="24"/>
          <w:lang w:val="en-US"/>
        </w:rPr>
        <w:t xml:space="preserve"> </w:t>
      </w:r>
      <w:r w:rsidR="002F2AA7" w:rsidRPr="00541658">
        <w:rPr>
          <w:rFonts w:ascii="Times New Roman" w:hAnsi="Times New Roman" w:cs="Times New Roman"/>
          <w:sz w:val="24"/>
          <w:szCs w:val="24"/>
          <w:lang w:val="en-US"/>
        </w:rPr>
        <w:t>C</w:t>
      </w:r>
      <w:r w:rsidR="00262A9F" w:rsidRPr="00541658">
        <w:rPr>
          <w:rFonts w:ascii="Times New Roman" w:hAnsi="Times New Roman" w:cs="Times New Roman"/>
          <w:sz w:val="24"/>
          <w:szCs w:val="24"/>
          <w:lang w:val="en-US"/>
        </w:rPr>
        <w:t>onsistent with other cases, it</w:t>
      </w:r>
      <w:r w:rsidR="002F2AA7" w:rsidRPr="00541658">
        <w:rPr>
          <w:rFonts w:ascii="Times New Roman" w:hAnsi="Times New Roman" w:cs="Times New Roman"/>
          <w:sz w:val="24"/>
          <w:szCs w:val="24"/>
          <w:lang w:val="en-US"/>
        </w:rPr>
        <w:t xml:space="preserve"> indicated </w:t>
      </w:r>
      <w:r w:rsidR="004F3BC1" w:rsidRPr="00541658">
        <w:rPr>
          <w:rFonts w:ascii="Times New Roman" w:hAnsi="Times New Roman" w:cs="Times New Roman"/>
          <w:sz w:val="24"/>
          <w:szCs w:val="24"/>
          <w:lang w:val="en-US"/>
        </w:rPr>
        <w:t>its</w:t>
      </w:r>
      <w:r w:rsidR="002F2AA7" w:rsidRPr="00541658">
        <w:rPr>
          <w:rFonts w:ascii="Times New Roman" w:hAnsi="Times New Roman" w:cs="Times New Roman"/>
          <w:sz w:val="24"/>
          <w:szCs w:val="24"/>
          <w:lang w:val="en-US"/>
        </w:rPr>
        <w:t xml:space="preserve"> flexib</w:t>
      </w:r>
      <w:r w:rsidR="004F3BC1" w:rsidRPr="00541658">
        <w:rPr>
          <w:rFonts w:ascii="Times New Roman" w:hAnsi="Times New Roman" w:cs="Times New Roman"/>
          <w:sz w:val="24"/>
          <w:szCs w:val="24"/>
          <w:lang w:val="en-US"/>
        </w:rPr>
        <w:t>le approach</w:t>
      </w:r>
      <w:r w:rsidR="00232F37">
        <w:rPr>
          <w:rFonts w:ascii="Times New Roman" w:hAnsi="Times New Roman" w:cs="Times New Roman"/>
          <w:sz w:val="24"/>
          <w:szCs w:val="24"/>
          <w:lang w:val="en-US"/>
        </w:rPr>
        <w:t>,</w:t>
      </w:r>
      <w:r w:rsidR="002F2AA7" w:rsidRPr="00541658">
        <w:rPr>
          <w:rFonts w:ascii="Times New Roman" w:hAnsi="Times New Roman" w:cs="Times New Roman"/>
          <w:sz w:val="24"/>
          <w:szCs w:val="24"/>
          <w:lang w:val="en-US"/>
        </w:rPr>
        <w:t xml:space="preserve"> </w:t>
      </w:r>
      <w:r w:rsidR="00AA6593">
        <w:rPr>
          <w:rFonts w:ascii="Times New Roman" w:hAnsi="Times New Roman" w:cs="Times New Roman"/>
          <w:sz w:val="24"/>
          <w:szCs w:val="24"/>
          <w:lang w:val="en-US"/>
        </w:rPr>
        <w:t xml:space="preserve">such </w:t>
      </w:r>
      <w:r w:rsidR="002F2AA7" w:rsidRPr="00541658">
        <w:rPr>
          <w:rFonts w:ascii="Times New Roman" w:hAnsi="Times New Roman" w:cs="Times New Roman"/>
          <w:sz w:val="24"/>
          <w:szCs w:val="24"/>
          <w:lang w:val="en-US"/>
        </w:rPr>
        <w:t>that</w:t>
      </w:r>
      <w:r w:rsidR="00262A9F" w:rsidRPr="00541658">
        <w:rPr>
          <w:rFonts w:ascii="Times New Roman" w:hAnsi="Times New Roman" w:cs="Times New Roman"/>
          <w:sz w:val="24"/>
          <w:szCs w:val="24"/>
          <w:lang w:val="en-US"/>
        </w:rPr>
        <w:t xml:space="preserve"> the level of </w:t>
      </w:r>
      <w:r w:rsidR="00187C05"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persuasion required</w:t>
      </w:r>
      <w:r w:rsidR="00187C05"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 xml:space="preserve"> and burden of proof is </w:t>
      </w:r>
      <w:r w:rsidR="00187C05"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intrinsically linked to the facts</w:t>
      </w:r>
      <w:r w:rsidR="009849C3">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 I</w:t>
      </w:r>
      <w:r w:rsidR="00232F37">
        <w:rPr>
          <w:rFonts w:ascii="Times New Roman" w:hAnsi="Times New Roman" w:cs="Times New Roman"/>
          <w:sz w:val="24"/>
          <w:szCs w:val="24"/>
          <w:lang w:val="en-US"/>
        </w:rPr>
        <w:t>t c</w:t>
      </w:r>
      <w:r w:rsidR="002F2AA7" w:rsidRPr="00541658">
        <w:rPr>
          <w:rFonts w:ascii="Times New Roman" w:hAnsi="Times New Roman" w:cs="Times New Roman"/>
          <w:sz w:val="24"/>
          <w:szCs w:val="24"/>
          <w:lang w:val="en-US"/>
        </w:rPr>
        <w:t xml:space="preserve">ited </w:t>
      </w:r>
      <w:r w:rsidR="00262A9F" w:rsidRPr="00541658">
        <w:rPr>
          <w:rFonts w:ascii="Times New Roman" w:hAnsi="Times New Roman" w:cs="Times New Roman"/>
          <w:sz w:val="24"/>
          <w:szCs w:val="24"/>
          <w:lang w:val="en-US"/>
        </w:rPr>
        <w:t xml:space="preserve">the exceptional </w:t>
      </w:r>
      <w:r w:rsidR="00232F37" w:rsidRPr="006026A8">
        <w:rPr>
          <w:rFonts w:ascii="Times New Roman" w:hAnsi="Times New Roman" w:cs="Times New Roman"/>
          <w:sz w:val="24"/>
          <w:szCs w:val="24"/>
          <w:lang w:val="en-US"/>
        </w:rPr>
        <w:t>eviden</w:t>
      </w:r>
      <w:r w:rsidR="00232F37">
        <w:rPr>
          <w:rFonts w:ascii="Times New Roman" w:hAnsi="Times New Roman" w:cs="Times New Roman"/>
          <w:sz w:val="24"/>
          <w:szCs w:val="24"/>
          <w:lang w:val="en-US"/>
        </w:rPr>
        <w:t xml:space="preserve">tiary </w:t>
      </w:r>
      <w:r w:rsidR="00232F37" w:rsidRPr="00541658">
        <w:rPr>
          <w:rFonts w:ascii="Times New Roman" w:hAnsi="Times New Roman" w:cs="Times New Roman"/>
          <w:sz w:val="24"/>
          <w:szCs w:val="24"/>
          <w:lang w:val="en-US"/>
        </w:rPr>
        <w:t xml:space="preserve"> </w:t>
      </w:r>
      <w:r w:rsidR="00262A9F" w:rsidRPr="00541658">
        <w:rPr>
          <w:rFonts w:ascii="Times New Roman" w:hAnsi="Times New Roman" w:cs="Times New Roman"/>
          <w:sz w:val="24"/>
          <w:szCs w:val="24"/>
          <w:lang w:val="en-US"/>
        </w:rPr>
        <w:t xml:space="preserve">difficulties </w:t>
      </w:r>
      <w:r w:rsidR="00232F37">
        <w:rPr>
          <w:rFonts w:ascii="Times New Roman" w:hAnsi="Times New Roman" w:cs="Times New Roman"/>
          <w:sz w:val="24"/>
          <w:szCs w:val="24"/>
          <w:lang w:val="en-US"/>
        </w:rPr>
        <w:t>we faced e.g.</w:t>
      </w:r>
      <w:r w:rsidR="00AA6593">
        <w:rPr>
          <w:rFonts w:ascii="Times New Roman" w:hAnsi="Times New Roman" w:cs="Times New Roman"/>
          <w:sz w:val="24"/>
          <w:szCs w:val="24"/>
          <w:lang w:val="en-US"/>
        </w:rPr>
        <w:t>:</w:t>
      </w:r>
      <w:r w:rsidR="00232F37">
        <w:rPr>
          <w:rFonts w:ascii="Times New Roman" w:hAnsi="Times New Roman" w:cs="Times New Roman"/>
          <w:sz w:val="24"/>
          <w:szCs w:val="24"/>
          <w:lang w:val="en-US"/>
        </w:rPr>
        <w:t xml:space="preserve"> </w:t>
      </w:r>
      <w:r w:rsidR="002F2AA7" w:rsidRPr="00541658">
        <w:rPr>
          <w:rFonts w:ascii="Times New Roman" w:hAnsi="Times New Roman" w:cs="Times New Roman"/>
          <w:sz w:val="24"/>
          <w:szCs w:val="24"/>
          <w:lang w:val="en-US"/>
        </w:rPr>
        <w:t xml:space="preserve">the </w:t>
      </w:r>
      <w:r w:rsidR="00187C05" w:rsidRPr="00541658">
        <w:rPr>
          <w:rFonts w:ascii="Times New Roman" w:hAnsi="Times New Roman" w:cs="Times New Roman"/>
          <w:sz w:val="24"/>
          <w:szCs w:val="24"/>
          <w:lang w:val="en-US"/>
        </w:rPr>
        <w:t>“</w:t>
      </w:r>
      <w:r w:rsidR="002F2AA7" w:rsidRPr="00541658">
        <w:rPr>
          <w:rFonts w:ascii="Times New Roman" w:hAnsi="Times New Roman" w:cs="Times New Roman"/>
          <w:sz w:val="24"/>
          <w:szCs w:val="24"/>
          <w:lang w:val="en-US"/>
        </w:rPr>
        <w:t xml:space="preserve">veil of secrecy surrounding the CIA rendition </w:t>
      </w:r>
      <w:proofErr w:type="spellStart"/>
      <w:r w:rsidR="002F2AA7" w:rsidRPr="00541658">
        <w:rPr>
          <w:rFonts w:ascii="Times New Roman" w:hAnsi="Times New Roman" w:cs="Times New Roman"/>
          <w:sz w:val="24"/>
          <w:szCs w:val="24"/>
          <w:lang w:val="en-US"/>
        </w:rPr>
        <w:t>programme</w:t>
      </w:r>
      <w:proofErr w:type="spellEnd"/>
      <w:r w:rsidR="00AA6593">
        <w:rPr>
          <w:rFonts w:ascii="Times New Roman" w:hAnsi="Times New Roman" w:cs="Times New Roman"/>
          <w:sz w:val="24"/>
          <w:szCs w:val="24"/>
          <w:lang w:val="en-US"/>
        </w:rPr>
        <w:t>;</w:t>
      </w:r>
      <w:r w:rsidR="00187C05" w:rsidRPr="00541658">
        <w:rPr>
          <w:rFonts w:ascii="Times New Roman" w:hAnsi="Times New Roman" w:cs="Times New Roman"/>
          <w:sz w:val="24"/>
          <w:szCs w:val="24"/>
          <w:lang w:val="en-US"/>
        </w:rPr>
        <w:t xml:space="preserve">” </w:t>
      </w:r>
      <w:r w:rsidR="002F2AA7" w:rsidRPr="00541658">
        <w:rPr>
          <w:rFonts w:ascii="Times New Roman" w:hAnsi="Times New Roman" w:cs="Times New Roman"/>
          <w:sz w:val="24"/>
          <w:szCs w:val="24"/>
          <w:lang w:val="en-US"/>
        </w:rPr>
        <w:t xml:space="preserve">by its nature </w:t>
      </w:r>
      <w:r w:rsidR="00AA6593">
        <w:rPr>
          <w:rFonts w:ascii="Times New Roman" w:hAnsi="Times New Roman" w:cs="Times New Roman"/>
          <w:sz w:val="24"/>
          <w:szCs w:val="24"/>
          <w:lang w:val="en-US"/>
        </w:rPr>
        <w:t>the ERP</w:t>
      </w:r>
      <w:r w:rsidR="00232F37">
        <w:rPr>
          <w:rFonts w:ascii="Times New Roman" w:hAnsi="Times New Roman" w:cs="Times New Roman"/>
          <w:sz w:val="24"/>
          <w:szCs w:val="24"/>
          <w:lang w:val="en-US"/>
        </w:rPr>
        <w:t xml:space="preserve"> left</w:t>
      </w:r>
      <w:r w:rsidR="002F2AA7" w:rsidRPr="00541658">
        <w:rPr>
          <w:rFonts w:ascii="Times New Roman" w:hAnsi="Times New Roman" w:cs="Times New Roman"/>
          <w:sz w:val="24"/>
          <w:szCs w:val="24"/>
          <w:lang w:val="en-US"/>
        </w:rPr>
        <w:t xml:space="preserve"> no trace of the applicant (</w:t>
      </w:r>
      <w:r w:rsidR="0070746B" w:rsidRPr="00541658">
        <w:rPr>
          <w:rFonts w:ascii="Times New Roman" w:hAnsi="Times New Roman" w:cs="Times New Roman"/>
          <w:sz w:val="24"/>
          <w:szCs w:val="24"/>
          <w:lang w:val="en-US"/>
        </w:rPr>
        <w:t>para</w:t>
      </w:r>
      <w:r w:rsidR="00187C05" w:rsidRPr="00541658">
        <w:rPr>
          <w:rFonts w:ascii="Times New Roman" w:hAnsi="Times New Roman" w:cs="Times New Roman"/>
          <w:sz w:val="24"/>
          <w:szCs w:val="24"/>
          <w:lang w:val="en-US"/>
        </w:rPr>
        <w:t>s</w:t>
      </w:r>
      <w:r w:rsidR="0070746B" w:rsidRPr="00541658">
        <w:rPr>
          <w:rFonts w:ascii="Times New Roman" w:hAnsi="Times New Roman" w:cs="Times New Roman"/>
          <w:sz w:val="24"/>
          <w:szCs w:val="24"/>
          <w:lang w:val="en-US"/>
        </w:rPr>
        <w:t xml:space="preserve"> </w:t>
      </w:r>
      <w:r w:rsidR="002F2AA7" w:rsidRPr="00541658">
        <w:rPr>
          <w:rFonts w:ascii="Times New Roman" w:hAnsi="Times New Roman" w:cs="Times New Roman"/>
          <w:sz w:val="24"/>
          <w:szCs w:val="24"/>
          <w:lang w:val="en-US"/>
        </w:rPr>
        <w:t>534</w:t>
      </w:r>
      <w:r w:rsidR="0070746B" w:rsidRPr="00541658">
        <w:rPr>
          <w:rFonts w:ascii="Times New Roman" w:hAnsi="Times New Roman" w:cs="Times New Roman"/>
          <w:sz w:val="24"/>
          <w:szCs w:val="24"/>
          <w:lang w:val="en-US"/>
        </w:rPr>
        <w:t>-</w:t>
      </w:r>
      <w:r w:rsidR="002F2AA7" w:rsidRPr="00541658">
        <w:rPr>
          <w:rFonts w:ascii="Times New Roman" w:hAnsi="Times New Roman" w:cs="Times New Roman"/>
          <w:sz w:val="24"/>
          <w:szCs w:val="24"/>
          <w:lang w:val="en-US"/>
        </w:rPr>
        <w:t>540)</w:t>
      </w:r>
      <w:r w:rsidR="00AA6593">
        <w:rPr>
          <w:rFonts w:ascii="Times New Roman" w:hAnsi="Times New Roman" w:cs="Times New Roman"/>
          <w:sz w:val="24"/>
          <w:szCs w:val="24"/>
          <w:lang w:val="en-US"/>
        </w:rPr>
        <w:t>;</w:t>
      </w:r>
      <w:r w:rsidR="002F2AA7" w:rsidRPr="00541658">
        <w:rPr>
          <w:rFonts w:ascii="Times New Roman" w:hAnsi="Times New Roman" w:cs="Times New Roman"/>
          <w:sz w:val="24"/>
          <w:szCs w:val="24"/>
          <w:lang w:val="en-US"/>
        </w:rPr>
        <w:t xml:space="preserve"> and the </w:t>
      </w:r>
      <w:r w:rsidR="00262A9F" w:rsidRPr="00541658">
        <w:rPr>
          <w:rFonts w:ascii="Times New Roman" w:hAnsi="Times New Roman" w:cs="Times New Roman"/>
          <w:sz w:val="24"/>
          <w:szCs w:val="24"/>
          <w:lang w:val="en-US"/>
        </w:rPr>
        <w:t>inability to receive a direct account due to US refusal to declassify any statement by Abu Zubaydah</w:t>
      </w:r>
      <w:r w:rsidR="00AA6593">
        <w:rPr>
          <w:rFonts w:ascii="Times New Roman" w:hAnsi="Times New Roman" w:cs="Times New Roman"/>
          <w:sz w:val="24"/>
          <w:szCs w:val="24"/>
          <w:lang w:val="en-US"/>
        </w:rPr>
        <w:t xml:space="preserve"> </w:t>
      </w:r>
      <w:r w:rsidR="009849C3">
        <w:rPr>
          <w:rFonts w:ascii="Times New Roman" w:hAnsi="Times New Roman" w:cs="Times New Roman"/>
          <w:sz w:val="24"/>
          <w:szCs w:val="24"/>
          <w:lang w:val="en-US"/>
        </w:rPr>
        <w:t>or to allow</w:t>
      </w:r>
      <w:r w:rsidR="00262A9F" w:rsidRPr="00541658">
        <w:rPr>
          <w:rFonts w:ascii="Times New Roman" w:hAnsi="Times New Roman" w:cs="Times New Roman"/>
          <w:sz w:val="24"/>
          <w:szCs w:val="24"/>
          <w:lang w:val="en-US"/>
        </w:rPr>
        <w:t xml:space="preserve"> access to ‘the outside world’ (</w:t>
      </w:r>
      <w:r w:rsidR="0070746B" w:rsidRPr="00541658">
        <w:rPr>
          <w:rFonts w:ascii="Times New Roman" w:hAnsi="Times New Roman" w:cs="Times New Roman"/>
          <w:sz w:val="24"/>
          <w:szCs w:val="24"/>
          <w:lang w:val="en-US"/>
        </w:rPr>
        <w:t xml:space="preserve">paras </w:t>
      </w:r>
      <w:r w:rsidR="00262A9F" w:rsidRPr="00541658">
        <w:rPr>
          <w:rFonts w:ascii="Times New Roman" w:hAnsi="Times New Roman" w:cs="Times New Roman"/>
          <w:sz w:val="24"/>
          <w:szCs w:val="24"/>
          <w:lang w:val="en-US"/>
        </w:rPr>
        <w:t>484-487).</w:t>
      </w:r>
      <w:r w:rsidR="006F5B11" w:rsidRPr="00541658">
        <w:rPr>
          <w:rFonts w:ascii="Times New Roman" w:hAnsi="Times New Roman" w:cs="Times New Roman"/>
          <w:sz w:val="24"/>
          <w:szCs w:val="24"/>
          <w:lang w:val="en-US"/>
        </w:rPr>
        <w:t xml:space="preserve"> Inevitably</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 xml:space="preserve"> the case </w:t>
      </w:r>
      <w:r w:rsidR="00232F37">
        <w:rPr>
          <w:rFonts w:ascii="Times New Roman" w:hAnsi="Times New Roman" w:cs="Times New Roman"/>
          <w:sz w:val="24"/>
          <w:szCs w:val="24"/>
          <w:lang w:val="en-US"/>
        </w:rPr>
        <w:t>had</w:t>
      </w:r>
      <w:r w:rsidR="006F5B11" w:rsidRPr="00541658">
        <w:rPr>
          <w:rFonts w:ascii="Times New Roman" w:hAnsi="Times New Roman" w:cs="Times New Roman"/>
          <w:sz w:val="24"/>
          <w:szCs w:val="24"/>
          <w:lang w:val="en-US"/>
        </w:rPr>
        <w:t xml:space="preserve"> to be established </w:t>
      </w:r>
      <w:r w:rsidR="004F3BC1" w:rsidRPr="00541658">
        <w:rPr>
          <w:rFonts w:ascii="Times New Roman" w:hAnsi="Times New Roman" w:cs="Times New Roman"/>
          <w:sz w:val="24"/>
          <w:szCs w:val="24"/>
          <w:lang w:val="en-US"/>
        </w:rPr>
        <w:t xml:space="preserve">principally </w:t>
      </w:r>
      <w:r w:rsidR="006F5B11" w:rsidRPr="00541658">
        <w:rPr>
          <w:rFonts w:ascii="Times New Roman" w:hAnsi="Times New Roman" w:cs="Times New Roman"/>
          <w:sz w:val="24"/>
          <w:szCs w:val="24"/>
          <w:lang w:val="en-US"/>
        </w:rPr>
        <w:t>by reference to publicly available</w:t>
      </w:r>
      <w:r w:rsidR="004F3BC1" w:rsidRPr="00541658">
        <w:rPr>
          <w:rFonts w:ascii="Times New Roman" w:hAnsi="Times New Roman" w:cs="Times New Roman"/>
          <w:sz w:val="24"/>
          <w:szCs w:val="24"/>
          <w:lang w:val="en-US"/>
        </w:rPr>
        <w:t xml:space="preserve"> evidence</w:t>
      </w:r>
      <w:r w:rsidR="006F5B11" w:rsidRPr="00541658">
        <w:rPr>
          <w:rFonts w:ascii="Times New Roman" w:hAnsi="Times New Roman" w:cs="Times New Roman"/>
          <w:sz w:val="24"/>
          <w:szCs w:val="24"/>
          <w:lang w:val="en-US"/>
        </w:rPr>
        <w:t xml:space="preserve">. </w:t>
      </w:r>
    </w:p>
    <w:p w14:paraId="58BAE1F3" w14:textId="77777777" w:rsidR="008E44FD" w:rsidRDefault="008E44FD" w:rsidP="00541658">
      <w:pPr>
        <w:spacing w:after="0" w:line="240" w:lineRule="auto"/>
        <w:jc w:val="both"/>
        <w:rPr>
          <w:rFonts w:ascii="Times New Roman" w:hAnsi="Times New Roman" w:cs="Times New Roman"/>
          <w:sz w:val="24"/>
          <w:szCs w:val="24"/>
          <w:lang w:val="en-US"/>
        </w:rPr>
      </w:pPr>
    </w:p>
    <w:p w14:paraId="0515A87B" w14:textId="3D9A63B3" w:rsidR="00FC56E9" w:rsidRPr="00541658" w:rsidRDefault="002F2AA7" w:rsidP="00541658">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I</w:t>
      </w:r>
      <w:r w:rsidR="009773DA" w:rsidRPr="00541658">
        <w:rPr>
          <w:rFonts w:ascii="Times New Roman" w:hAnsi="Times New Roman" w:cs="Times New Roman"/>
          <w:sz w:val="24"/>
          <w:szCs w:val="24"/>
          <w:lang w:val="en-US"/>
        </w:rPr>
        <w:t xml:space="preserve">t also found that </w:t>
      </w:r>
      <w:r w:rsidR="00262A9F" w:rsidRPr="00541658">
        <w:rPr>
          <w:rFonts w:ascii="Times New Roman" w:hAnsi="Times New Roman" w:cs="Times New Roman"/>
          <w:sz w:val="24"/>
          <w:szCs w:val="24"/>
          <w:lang w:val="en-US"/>
        </w:rPr>
        <w:t xml:space="preserve">the government’s </w:t>
      </w:r>
      <w:r w:rsidR="00187C05"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firm denials</w:t>
      </w:r>
      <w:r w:rsidR="00187C05" w:rsidRPr="00541658">
        <w:rPr>
          <w:rFonts w:ascii="Times New Roman" w:hAnsi="Times New Roman" w:cs="Times New Roman"/>
          <w:sz w:val="24"/>
          <w:szCs w:val="24"/>
          <w:lang w:val="en-US"/>
        </w:rPr>
        <w:t xml:space="preserve">” </w:t>
      </w:r>
      <w:r w:rsidR="00262A9F" w:rsidRPr="00541658">
        <w:rPr>
          <w:rFonts w:ascii="Times New Roman" w:hAnsi="Times New Roman" w:cs="Times New Roman"/>
          <w:sz w:val="24"/>
          <w:szCs w:val="24"/>
          <w:lang w:val="en-US"/>
        </w:rPr>
        <w:t xml:space="preserve">and failure to provide any </w:t>
      </w:r>
      <w:r w:rsidR="00187C05"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satisfactory and convincing explanation</w:t>
      </w:r>
      <w:r w:rsidR="006F5B11" w:rsidRPr="00541658">
        <w:rPr>
          <w:rFonts w:ascii="Times New Roman" w:hAnsi="Times New Roman" w:cs="Times New Roman"/>
          <w:sz w:val="24"/>
          <w:szCs w:val="24"/>
          <w:lang w:val="en-US"/>
        </w:rPr>
        <w:t>,</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 xml:space="preserve"> in face of </w:t>
      </w:r>
      <w:r w:rsidR="00262A9F" w:rsidRPr="00541658">
        <w:rPr>
          <w:rFonts w:ascii="Times New Roman" w:hAnsi="Times New Roman" w:cs="Times New Roman"/>
          <w:sz w:val="24"/>
          <w:szCs w:val="24"/>
          <w:lang w:val="en-US"/>
        </w:rPr>
        <w:t>prima facie evidence</w:t>
      </w:r>
      <w:r w:rsidR="006F5B11" w:rsidRPr="00541658">
        <w:rPr>
          <w:rFonts w:ascii="Times New Roman" w:hAnsi="Times New Roman" w:cs="Times New Roman"/>
          <w:sz w:val="24"/>
          <w:szCs w:val="24"/>
          <w:lang w:val="en-US"/>
        </w:rPr>
        <w:t>,</w:t>
      </w:r>
      <w:r w:rsidR="00262A9F" w:rsidRPr="00541658">
        <w:rPr>
          <w:rFonts w:ascii="Times New Roman" w:hAnsi="Times New Roman" w:cs="Times New Roman"/>
          <w:sz w:val="24"/>
          <w:szCs w:val="24"/>
          <w:lang w:val="en-US"/>
        </w:rPr>
        <w:t xml:space="preserve"> meant that strong </w:t>
      </w:r>
      <w:r w:rsidR="006F5B11" w:rsidRPr="00541658">
        <w:rPr>
          <w:rFonts w:ascii="Times New Roman" w:hAnsi="Times New Roman" w:cs="Times New Roman"/>
          <w:sz w:val="24"/>
          <w:szCs w:val="24"/>
          <w:lang w:val="en-US"/>
        </w:rPr>
        <w:t xml:space="preserve">and concordant </w:t>
      </w:r>
      <w:r w:rsidR="00262A9F" w:rsidRPr="00541658">
        <w:rPr>
          <w:rFonts w:ascii="Times New Roman" w:hAnsi="Times New Roman" w:cs="Times New Roman"/>
          <w:sz w:val="24"/>
          <w:szCs w:val="24"/>
          <w:lang w:val="en-US"/>
        </w:rPr>
        <w:t xml:space="preserve">inferences </w:t>
      </w:r>
      <w:r w:rsidR="006F5B11" w:rsidRPr="00541658">
        <w:rPr>
          <w:rFonts w:ascii="Times New Roman" w:hAnsi="Times New Roman" w:cs="Times New Roman"/>
          <w:sz w:val="24"/>
          <w:szCs w:val="24"/>
          <w:lang w:val="en-US"/>
        </w:rPr>
        <w:t xml:space="preserve">could be drawn </w:t>
      </w:r>
      <w:r w:rsidR="00262A9F" w:rsidRPr="00541658">
        <w:rPr>
          <w:rFonts w:ascii="Times New Roman" w:hAnsi="Times New Roman" w:cs="Times New Roman"/>
          <w:sz w:val="24"/>
          <w:szCs w:val="24"/>
          <w:lang w:val="en-US"/>
        </w:rPr>
        <w:t>(</w:t>
      </w:r>
      <w:r w:rsidR="0070746B" w:rsidRPr="00541658">
        <w:rPr>
          <w:rFonts w:ascii="Times New Roman" w:hAnsi="Times New Roman" w:cs="Times New Roman"/>
          <w:sz w:val="24"/>
          <w:szCs w:val="24"/>
          <w:lang w:val="en-US"/>
        </w:rPr>
        <w:t xml:space="preserve">paras </w:t>
      </w:r>
      <w:r w:rsidR="00262A9F" w:rsidRPr="00541658">
        <w:rPr>
          <w:rFonts w:ascii="Times New Roman" w:hAnsi="Times New Roman" w:cs="Times New Roman"/>
          <w:sz w:val="24"/>
          <w:szCs w:val="24"/>
          <w:lang w:val="en-US"/>
        </w:rPr>
        <w:t xml:space="preserve">482, 488). </w:t>
      </w:r>
      <w:r w:rsidR="006F5B11" w:rsidRPr="00541658">
        <w:rPr>
          <w:rFonts w:ascii="Times New Roman" w:hAnsi="Times New Roman" w:cs="Times New Roman"/>
          <w:sz w:val="24"/>
          <w:szCs w:val="24"/>
          <w:lang w:val="en-US"/>
        </w:rPr>
        <w:t xml:space="preserve">The government’s approach of blanket denial throughout proceedings and its persistent objection that there was </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not a shred of evidence</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 xml:space="preserve"> against it</w:t>
      </w:r>
      <w:r w:rsidR="00187C05" w:rsidRPr="00541658">
        <w:rPr>
          <w:rFonts w:ascii="Times New Roman" w:hAnsi="Times New Roman" w:cs="Times New Roman"/>
          <w:sz w:val="24"/>
          <w:szCs w:val="24"/>
          <w:lang w:val="en-US"/>
        </w:rPr>
        <w:t xml:space="preserve">, </w:t>
      </w:r>
      <w:r w:rsidR="006F5B11" w:rsidRPr="00541658">
        <w:rPr>
          <w:rFonts w:ascii="Times New Roman" w:hAnsi="Times New Roman" w:cs="Times New Roman"/>
          <w:sz w:val="24"/>
          <w:szCs w:val="24"/>
          <w:lang w:val="en-US"/>
        </w:rPr>
        <w:t>were robustly rejected by the Court. Absent plausible evidence presented by the state, the</w:t>
      </w:r>
      <w:r w:rsidR="006F5B11" w:rsidRPr="00541658">
        <w:rPr>
          <w:rFonts w:ascii="Times New Roman" w:hAnsi="Times New Roman" w:cs="Times New Roman"/>
          <w:iCs/>
          <w:sz w:val="24"/>
          <w:szCs w:val="24"/>
          <w:lang w:val="en-US"/>
        </w:rPr>
        <w:t xml:space="preserve"> </w:t>
      </w:r>
      <w:r w:rsidR="006F5B11" w:rsidRPr="00541658">
        <w:rPr>
          <w:rFonts w:ascii="Times New Roman" w:hAnsi="Times New Roman" w:cs="Times New Roman"/>
          <w:sz w:val="24"/>
          <w:szCs w:val="24"/>
          <w:lang w:val="en-US"/>
        </w:rPr>
        <w:t xml:space="preserve">weighty dossier of </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circumstantial</w:t>
      </w:r>
      <w:r w:rsidR="00187C05" w:rsidRPr="00541658">
        <w:rPr>
          <w:rFonts w:ascii="Times New Roman" w:hAnsi="Times New Roman" w:cs="Times New Roman"/>
          <w:sz w:val="24"/>
          <w:szCs w:val="24"/>
          <w:lang w:val="en-US"/>
        </w:rPr>
        <w:t>”</w:t>
      </w:r>
      <w:r w:rsidR="006F5B11" w:rsidRPr="00541658">
        <w:rPr>
          <w:rFonts w:ascii="Times New Roman" w:hAnsi="Times New Roman" w:cs="Times New Roman"/>
          <w:sz w:val="24"/>
          <w:szCs w:val="24"/>
          <w:lang w:val="en-US"/>
        </w:rPr>
        <w:t xml:space="preserve"> evidence more than met the Court’s standard. </w:t>
      </w:r>
    </w:p>
    <w:p w14:paraId="2AED2A29" w14:textId="77777777" w:rsidR="00262A9F" w:rsidRPr="00541658" w:rsidRDefault="00262A9F" w:rsidP="00FE5F55">
      <w:pPr>
        <w:spacing w:after="0" w:line="240" w:lineRule="auto"/>
        <w:jc w:val="both"/>
        <w:rPr>
          <w:rFonts w:ascii="Times New Roman" w:hAnsi="Times New Roman" w:cs="Times New Roman"/>
          <w:sz w:val="24"/>
          <w:szCs w:val="24"/>
          <w:lang w:val="en-US"/>
        </w:rPr>
      </w:pPr>
    </w:p>
    <w:p w14:paraId="67773890" w14:textId="77777777" w:rsidR="004404F8" w:rsidRPr="00541658" w:rsidRDefault="001D7976" w:rsidP="00EE0A31">
      <w:pPr>
        <w:spacing w:line="240" w:lineRule="auto"/>
        <w:jc w:val="both"/>
        <w:rPr>
          <w:rFonts w:ascii="Times New Roman" w:hAnsi="Times New Roman" w:cs="Times New Roman"/>
          <w:sz w:val="24"/>
          <w:szCs w:val="24"/>
          <w:highlight w:val="yellow"/>
          <w:u w:val="single"/>
          <w:lang w:val="en-US"/>
        </w:rPr>
      </w:pPr>
      <w:r w:rsidRPr="00541658">
        <w:rPr>
          <w:rFonts w:ascii="Times New Roman" w:hAnsi="Times New Roman" w:cs="Times New Roman"/>
          <w:sz w:val="24"/>
          <w:szCs w:val="24"/>
          <w:u w:val="single"/>
          <w:lang w:val="en-US"/>
        </w:rPr>
        <w:t>T</w:t>
      </w:r>
      <w:r w:rsidR="004404F8" w:rsidRPr="00541658">
        <w:rPr>
          <w:rFonts w:ascii="Times New Roman" w:hAnsi="Times New Roman" w:cs="Times New Roman"/>
          <w:sz w:val="24"/>
          <w:szCs w:val="24"/>
          <w:u w:val="single"/>
          <w:lang w:val="en-US"/>
        </w:rPr>
        <w:t>he Law and Violations</w:t>
      </w:r>
    </w:p>
    <w:p w14:paraId="1809E59D" w14:textId="18E3E4C9" w:rsidR="00187C05" w:rsidRPr="00541658" w:rsidRDefault="00AD6986" w:rsidP="00AB24FA">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Court noted that the rationale behind </w:t>
      </w:r>
      <w:r w:rsidR="00187C05" w:rsidRPr="00541658">
        <w:rPr>
          <w:rFonts w:ascii="Times New Roman" w:hAnsi="Times New Roman" w:cs="Times New Roman"/>
          <w:sz w:val="24"/>
          <w:szCs w:val="24"/>
          <w:lang w:val="en-US"/>
        </w:rPr>
        <w:t>ERP</w:t>
      </w:r>
      <w:r w:rsidRPr="00541658">
        <w:rPr>
          <w:rFonts w:ascii="Times New Roman" w:hAnsi="Times New Roman" w:cs="Times New Roman"/>
          <w:sz w:val="24"/>
          <w:szCs w:val="24"/>
          <w:lang w:val="en-US"/>
        </w:rPr>
        <w:t xml:space="preserve"> was specifically to </w:t>
      </w:r>
      <w:r w:rsidR="00187C05"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remove persons from any legal protection</w:t>
      </w:r>
      <w:r w:rsidR="00187C05" w:rsidRPr="00541658">
        <w:rPr>
          <w:rFonts w:ascii="Times New Roman" w:hAnsi="Times New Roman" w:cs="Times New Roman"/>
          <w:sz w:val="24"/>
          <w:szCs w:val="24"/>
          <w:lang w:val="en-US"/>
        </w:rPr>
        <w:t>”</w:t>
      </w:r>
      <w:r w:rsidR="009F248A" w:rsidRPr="00541658">
        <w:rPr>
          <w:rFonts w:ascii="Times New Roman" w:hAnsi="Times New Roman" w:cs="Times New Roman"/>
          <w:sz w:val="24"/>
          <w:szCs w:val="24"/>
          <w:lang w:val="en-US"/>
        </w:rPr>
        <w:t xml:space="preserve"> and</w:t>
      </w:r>
      <w:r w:rsidR="00BF5B78" w:rsidRPr="00541658">
        <w:rPr>
          <w:rFonts w:ascii="Times New Roman" w:hAnsi="Times New Roman" w:cs="Times New Roman"/>
          <w:sz w:val="24"/>
          <w:szCs w:val="24"/>
          <w:lang w:val="en-US"/>
        </w:rPr>
        <w:t xml:space="preserve"> described e</w:t>
      </w:r>
      <w:r w:rsidR="001D2D36" w:rsidRPr="00541658">
        <w:rPr>
          <w:rFonts w:ascii="Times New Roman" w:hAnsi="Times New Roman" w:cs="Times New Roman"/>
          <w:sz w:val="24"/>
          <w:szCs w:val="24"/>
          <w:lang w:val="en-US"/>
        </w:rPr>
        <w:t>xtraordinary rendition as “</w:t>
      </w:r>
      <w:r w:rsidR="001D2D36" w:rsidRPr="00541658">
        <w:rPr>
          <w:rFonts w:ascii="Times New Roman" w:hAnsi="Times New Roman" w:cs="Times New Roman"/>
          <w:i/>
          <w:sz w:val="24"/>
          <w:szCs w:val="24"/>
          <w:lang w:val="en-US"/>
        </w:rPr>
        <w:t>anathema to the rule of law”</w:t>
      </w:r>
      <w:r w:rsidR="001D2D36" w:rsidRPr="00541658">
        <w:rPr>
          <w:rFonts w:ascii="Times New Roman" w:hAnsi="Times New Roman" w:cs="Times New Roman"/>
          <w:sz w:val="24"/>
          <w:szCs w:val="24"/>
          <w:lang w:val="en-US"/>
        </w:rPr>
        <w:t xml:space="preserve"> (</w:t>
      </w:r>
      <w:r w:rsidR="0070746B" w:rsidRPr="00541658">
        <w:rPr>
          <w:rFonts w:ascii="Times New Roman" w:hAnsi="Times New Roman" w:cs="Times New Roman"/>
          <w:sz w:val="24"/>
          <w:szCs w:val="24"/>
          <w:lang w:val="en-US"/>
        </w:rPr>
        <w:t xml:space="preserve">para. </w:t>
      </w:r>
      <w:r w:rsidR="001D2D36" w:rsidRPr="00541658">
        <w:rPr>
          <w:rFonts w:ascii="Times New Roman" w:hAnsi="Times New Roman" w:cs="Times New Roman"/>
          <w:sz w:val="24"/>
          <w:szCs w:val="24"/>
          <w:lang w:val="en-US"/>
        </w:rPr>
        <w:t xml:space="preserve">583). </w:t>
      </w:r>
      <w:r w:rsidR="00F20550" w:rsidRPr="00541658">
        <w:rPr>
          <w:rFonts w:ascii="Times New Roman" w:hAnsi="Times New Roman" w:cs="Times New Roman"/>
          <w:sz w:val="24"/>
          <w:szCs w:val="24"/>
          <w:lang w:val="en-US"/>
        </w:rPr>
        <w:t>In its conclusions of law</w:t>
      </w:r>
      <w:r w:rsidR="00187C05" w:rsidRPr="00541658">
        <w:rPr>
          <w:rFonts w:ascii="Times New Roman" w:hAnsi="Times New Roman" w:cs="Times New Roman"/>
          <w:sz w:val="24"/>
          <w:szCs w:val="24"/>
          <w:lang w:val="en-US"/>
        </w:rPr>
        <w:t>,</w:t>
      </w:r>
      <w:r w:rsidR="00F20550" w:rsidRPr="00541658">
        <w:rPr>
          <w:rFonts w:ascii="Times New Roman" w:hAnsi="Times New Roman" w:cs="Times New Roman"/>
          <w:sz w:val="24"/>
          <w:szCs w:val="24"/>
          <w:lang w:val="en-US"/>
        </w:rPr>
        <w:t xml:space="preserve"> the </w:t>
      </w:r>
      <w:r w:rsidR="00BF5B78" w:rsidRPr="00541658">
        <w:rPr>
          <w:rFonts w:ascii="Times New Roman" w:hAnsi="Times New Roman" w:cs="Times New Roman"/>
          <w:sz w:val="24"/>
          <w:szCs w:val="24"/>
          <w:lang w:val="en-US"/>
        </w:rPr>
        <w:t>Court wa</w:t>
      </w:r>
      <w:r w:rsidR="00F20550" w:rsidRPr="00541658">
        <w:rPr>
          <w:rFonts w:ascii="Times New Roman" w:hAnsi="Times New Roman" w:cs="Times New Roman"/>
          <w:sz w:val="24"/>
          <w:szCs w:val="24"/>
          <w:lang w:val="en-US"/>
        </w:rPr>
        <w:t xml:space="preserve">s unequivocal in its condemnation of the state on all counts. </w:t>
      </w:r>
      <w:r w:rsidR="001E5FCE" w:rsidRPr="00541658">
        <w:rPr>
          <w:rFonts w:ascii="Times New Roman" w:hAnsi="Times New Roman" w:cs="Times New Roman"/>
          <w:sz w:val="24"/>
          <w:szCs w:val="24"/>
          <w:lang w:val="en-US"/>
        </w:rPr>
        <w:t xml:space="preserve">Lithuania was responsible for </w:t>
      </w:r>
      <w:r w:rsidR="00187C05" w:rsidRPr="00541658">
        <w:rPr>
          <w:rFonts w:ascii="Times New Roman" w:hAnsi="Times New Roman" w:cs="Times New Roman"/>
          <w:sz w:val="24"/>
          <w:szCs w:val="24"/>
          <w:lang w:val="en-US"/>
        </w:rPr>
        <w:t>failing to</w:t>
      </w:r>
      <w:r w:rsidR="001E5FCE" w:rsidRPr="00541658">
        <w:rPr>
          <w:rFonts w:ascii="Times New Roman" w:hAnsi="Times New Roman" w:cs="Times New Roman"/>
          <w:sz w:val="24"/>
          <w:szCs w:val="24"/>
          <w:lang w:val="en-US"/>
        </w:rPr>
        <w:t xml:space="preserve"> prevent</w:t>
      </w:r>
      <w:r w:rsidR="00187C05" w:rsidRPr="00541658">
        <w:rPr>
          <w:rFonts w:ascii="Times New Roman" w:hAnsi="Times New Roman" w:cs="Times New Roman"/>
          <w:sz w:val="24"/>
          <w:szCs w:val="24"/>
          <w:lang w:val="en-US"/>
        </w:rPr>
        <w:t xml:space="preserve"> violations</w:t>
      </w:r>
      <w:r w:rsidR="001E5FCE" w:rsidRPr="00541658">
        <w:rPr>
          <w:rFonts w:ascii="Times New Roman" w:hAnsi="Times New Roman" w:cs="Times New Roman"/>
          <w:sz w:val="24"/>
          <w:szCs w:val="24"/>
          <w:lang w:val="en-US"/>
        </w:rPr>
        <w:t xml:space="preserve"> and protect</w:t>
      </w:r>
      <w:r w:rsidR="00187C05" w:rsidRPr="00541658">
        <w:rPr>
          <w:rFonts w:ascii="Times New Roman" w:hAnsi="Times New Roman" w:cs="Times New Roman"/>
          <w:sz w:val="24"/>
          <w:szCs w:val="24"/>
          <w:lang w:val="en-US"/>
        </w:rPr>
        <w:t xml:space="preserve"> </w:t>
      </w:r>
      <w:r w:rsidR="001E5FCE" w:rsidRPr="00541658">
        <w:rPr>
          <w:rFonts w:ascii="Times New Roman" w:hAnsi="Times New Roman" w:cs="Times New Roman"/>
          <w:sz w:val="24"/>
          <w:szCs w:val="24"/>
          <w:lang w:val="en-US"/>
        </w:rPr>
        <w:t>person</w:t>
      </w:r>
      <w:r w:rsidR="009849C3">
        <w:rPr>
          <w:rFonts w:ascii="Times New Roman" w:hAnsi="Times New Roman" w:cs="Times New Roman"/>
          <w:sz w:val="24"/>
          <w:szCs w:val="24"/>
          <w:lang w:val="en-US"/>
        </w:rPr>
        <w:t>s</w:t>
      </w:r>
      <w:r w:rsidR="001E5FCE" w:rsidRPr="00541658">
        <w:rPr>
          <w:rFonts w:ascii="Times New Roman" w:hAnsi="Times New Roman" w:cs="Times New Roman"/>
          <w:sz w:val="24"/>
          <w:szCs w:val="24"/>
          <w:lang w:val="en-US"/>
        </w:rPr>
        <w:t xml:space="preserve"> on its territory</w:t>
      </w:r>
      <w:r w:rsidR="00700239" w:rsidRPr="00541658">
        <w:rPr>
          <w:rFonts w:ascii="Times New Roman" w:hAnsi="Times New Roman" w:cs="Times New Roman"/>
          <w:sz w:val="24"/>
          <w:szCs w:val="24"/>
          <w:lang w:val="en-US"/>
        </w:rPr>
        <w:t>,</w:t>
      </w:r>
      <w:r w:rsidR="001E5FCE" w:rsidRPr="00541658">
        <w:rPr>
          <w:rFonts w:ascii="Times New Roman" w:hAnsi="Times New Roman" w:cs="Times New Roman"/>
          <w:sz w:val="24"/>
          <w:szCs w:val="24"/>
          <w:lang w:val="en-US"/>
        </w:rPr>
        <w:t xml:space="preserve"> </w:t>
      </w:r>
      <w:r w:rsidR="002A738F" w:rsidRPr="00541658">
        <w:rPr>
          <w:rFonts w:ascii="Times New Roman" w:hAnsi="Times New Roman" w:cs="Times New Roman"/>
          <w:sz w:val="24"/>
          <w:szCs w:val="24"/>
          <w:lang w:val="en-US"/>
        </w:rPr>
        <w:t xml:space="preserve">through </w:t>
      </w:r>
      <w:r w:rsidR="001E5FCE" w:rsidRPr="00541658">
        <w:rPr>
          <w:rFonts w:ascii="Times New Roman" w:hAnsi="Times New Roman" w:cs="Times New Roman"/>
          <w:sz w:val="24"/>
          <w:szCs w:val="24"/>
          <w:lang w:val="en-US"/>
        </w:rPr>
        <w:t xml:space="preserve">what </w:t>
      </w:r>
      <w:r w:rsidR="009849C3">
        <w:rPr>
          <w:rFonts w:ascii="Times New Roman" w:hAnsi="Times New Roman" w:cs="Times New Roman"/>
          <w:sz w:val="24"/>
          <w:szCs w:val="24"/>
          <w:lang w:val="en-US"/>
        </w:rPr>
        <w:t>is</w:t>
      </w:r>
      <w:r w:rsidR="001E5FCE" w:rsidRPr="00541658">
        <w:rPr>
          <w:rFonts w:ascii="Times New Roman" w:hAnsi="Times New Roman" w:cs="Times New Roman"/>
          <w:sz w:val="24"/>
          <w:szCs w:val="24"/>
          <w:lang w:val="en-US"/>
        </w:rPr>
        <w:t xml:space="preserve"> </w:t>
      </w:r>
      <w:r w:rsidR="00E920C4" w:rsidRPr="00541658">
        <w:rPr>
          <w:rFonts w:ascii="Times New Roman" w:hAnsi="Times New Roman" w:cs="Times New Roman"/>
          <w:sz w:val="24"/>
          <w:szCs w:val="24"/>
          <w:lang w:val="en-US"/>
        </w:rPr>
        <w:t>variously</w:t>
      </w:r>
      <w:r w:rsidR="001E5FCE" w:rsidRPr="00541658">
        <w:rPr>
          <w:rFonts w:ascii="Times New Roman" w:hAnsi="Times New Roman" w:cs="Times New Roman"/>
          <w:sz w:val="24"/>
          <w:szCs w:val="24"/>
          <w:lang w:val="en-US"/>
        </w:rPr>
        <w:t xml:space="preserve"> refer</w:t>
      </w:r>
      <w:r w:rsidR="009849C3">
        <w:rPr>
          <w:rFonts w:ascii="Times New Roman" w:hAnsi="Times New Roman" w:cs="Times New Roman"/>
          <w:sz w:val="24"/>
          <w:szCs w:val="24"/>
          <w:lang w:val="en-US"/>
        </w:rPr>
        <w:t>red</w:t>
      </w:r>
      <w:r w:rsidR="001E5FCE" w:rsidRPr="00541658">
        <w:rPr>
          <w:rFonts w:ascii="Times New Roman" w:hAnsi="Times New Roman" w:cs="Times New Roman"/>
          <w:sz w:val="24"/>
          <w:szCs w:val="24"/>
          <w:lang w:val="en-US"/>
        </w:rPr>
        <w:t xml:space="preserve"> to as its role in </w:t>
      </w:r>
      <w:r w:rsidR="00187C05" w:rsidRPr="00541658">
        <w:rPr>
          <w:rFonts w:ascii="Times New Roman" w:hAnsi="Times New Roman" w:cs="Times New Roman"/>
          <w:sz w:val="24"/>
          <w:szCs w:val="24"/>
          <w:lang w:val="en-US"/>
        </w:rPr>
        <w:t>“</w:t>
      </w:r>
      <w:r w:rsidR="001E5FCE" w:rsidRPr="00541658">
        <w:rPr>
          <w:rFonts w:ascii="Times New Roman" w:hAnsi="Times New Roman" w:cs="Times New Roman"/>
          <w:sz w:val="24"/>
          <w:szCs w:val="24"/>
          <w:lang w:val="en-US"/>
        </w:rPr>
        <w:t>preparation</w:t>
      </w:r>
      <w:r w:rsidR="002A738F" w:rsidRPr="00541658">
        <w:rPr>
          <w:rFonts w:ascii="Times New Roman" w:hAnsi="Times New Roman" w:cs="Times New Roman"/>
          <w:sz w:val="24"/>
          <w:szCs w:val="24"/>
          <w:lang w:val="en-US"/>
        </w:rPr>
        <w:t>,</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p</w:t>
      </w:r>
      <w:r w:rsidR="001E5FCE" w:rsidRPr="00541658">
        <w:rPr>
          <w:rFonts w:ascii="Times New Roman" w:hAnsi="Times New Roman" w:cs="Times New Roman"/>
          <w:sz w:val="24"/>
          <w:szCs w:val="24"/>
          <w:lang w:val="en-US"/>
        </w:rPr>
        <w:t>articipation</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w:t>
      </w:r>
      <w:r w:rsidR="001E5FCE" w:rsidRPr="00541658">
        <w:rPr>
          <w:rFonts w:ascii="Times New Roman" w:hAnsi="Times New Roman" w:cs="Times New Roman"/>
          <w:sz w:val="24"/>
          <w:szCs w:val="24"/>
          <w:lang w:val="en-US"/>
        </w:rPr>
        <w:t>f</w:t>
      </w:r>
      <w:r w:rsidRPr="00541658">
        <w:rPr>
          <w:rFonts w:ascii="Times New Roman" w:hAnsi="Times New Roman" w:cs="Times New Roman"/>
          <w:sz w:val="24"/>
          <w:szCs w:val="24"/>
          <w:lang w:val="en-US"/>
        </w:rPr>
        <w:t>acilitation</w:t>
      </w:r>
      <w:r w:rsidR="002A738F" w:rsidRPr="00541658">
        <w:rPr>
          <w:rFonts w:ascii="Times New Roman" w:hAnsi="Times New Roman" w:cs="Times New Roman"/>
          <w:sz w:val="24"/>
          <w:szCs w:val="24"/>
          <w:lang w:val="en-US"/>
        </w:rPr>
        <w:t>,</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cooperation</w:t>
      </w:r>
      <w:r w:rsidR="002A738F" w:rsidRPr="00541658">
        <w:rPr>
          <w:rFonts w:ascii="Times New Roman" w:hAnsi="Times New Roman" w:cs="Times New Roman"/>
          <w:sz w:val="24"/>
          <w:szCs w:val="24"/>
          <w:lang w:val="en-US"/>
        </w:rPr>
        <w:t>,</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w:t>
      </w:r>
      <w:r w:rsidR="00BF5B78" w:rsidRPr="00541658">
        <w:rPr>
          <w:rFonts w:ascii="Times New Roman" w:hAnsi="Times New Roman" w:cs="Times New Roman"/>
          <w:sz w:val="24"/>
          <w:szCs w:val="24"/>
          <w:lang w:val="en-US"/>
        </w:rPr>
        <w:t>intentional</w:t>
      </w:r>
      <w:r w:rsidR="00655582" w:rsidRPr="00541658">
        <w:rPr>
          <w:rFonts w:ascii="Times New Roman" w:hAnsi="Times New Roman" w:cs="Times New Roman"/>
          <w:sz w:val="24"/>
          <w:szCs w:val="24"/>
          <w:lang w:val="en-US"/>
        </w:rPr>
        <w:t xml:space="preserve"> collaboration</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and </w:t>
      </w:r>
      <w:r w:rsidR="00187C05"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a</w:t>
      </w:r>
      <w:r w:rsidR="001E5FCE" w:rsidRPr="00541658">
        <w:rPr>
          <w:rFonts w:ascii="Times New Roman" w:hAnsi="Times New Roman" w:cs="Times New Roman"/>
          <w:sz w:val="24"/>
          <w:szCs w:val="24"/>
          <w:lang w:val="en-US"/>
        </w:rPr>
        <w:t>cquiescence and connivance.</w:t>
      </w:r>
      <w:r w:rsidR="00187C05" w:rsidRPr="00541658">
        <w:rPr>
          <w:rFonts w:ascii="Times New Roman" w:hAnsi="Times New Roman" w:cs="Times New Roman"/>
          <w:sz w:val="24"/>
          <w:szCs w:val="24"/>
          <w:lang w:val="en-US"/>
        </w:rPr>
        <w:t>”</w:t>
      </w:r>
      <w:r w:rsidR="00E920C4" w:rsidRPr="00541658">
        <w:rPr>
          <w:rFonts w:ascii="Times New Roman" w:hAnsi="Times New Roman" w:cs="Times New Roman"/>
          <w:sz w:val="24"/>
          <w:szCs w:val="24"/>
          <w:lang w:val="en-US"/>
        </w:rPr>
        <w:t xml:space="preserve"> </w:t>
      </w:r>
    </w:p>
    <w:p w14:paraId="11BDE38C" w14:textId="77777777" w:rsidR="00545785" w:rsidRPr="00541658" w:rsidRDefault="00545785" w:rsidP="00AE68B2">
      <w:pPr>
        <w:spacing w:after="0" w:line="240" w:lineRule="auto"/>
        <w:jc w:val="both"/>
        <w:rPr>
          <w:rFonts w:ascii="Times New Roman" w:hAnsi="Times New Roman" w:cs="Times New Roman"/>
          <w:sz w:val="24"/>
          <w:szCs w:val="24"/>
          <w:lang w:val="en-US"/>
        </w:rPr>
      </w:pPr>
    </w:p>
    <w:p w14:paraId="56C018F6" w14:textId="398A21D2" w:rsidR="005020C2" w:rsidRPr="00541658" w:rsidRDefault="00700239" w:rsidP="00541658">
      <w:pPr>
        <w:spacing w:after="0"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w:t>
      </w:r>
      <w:r w:rsidR="00187C05" w:rsidRPr="00541658">
        <w:rPr>
          <w:rFonts w:ascii="Times New Roman" w:hAnsi="Times New Roman" w:cs="Times New Roman"/>
          <w:sz w:val="24"/>
          <w:szCs w:val="24"/>
          <w:lang w:val="en-US"/>
        </w:rPr>
        <w:t xml:space="preserve">following </w:t>
      </w:r>
      <w:r w:rsidR="00AA6593" w:rsidRPr="00541658">
        <w:rPr>
          <w:rFonts w:ascii="Times New Roman" w:hAnsi="Times New Roman" w:cs="Times New Roman"/>
          <w:sz w:val="24"/>
          <w:szCs w:val="24"/>
          <w:lang w:val="en-US"/>
        </w:rPr>
        <w:t>violation</w:t>
      </w:r>
      <w:r w:rsidR="00AA6593">
        <w:rPr>
          <w:rFonts w:ascii="Times New Roman" w:hAnsi="Times New Roman" w:cs="Times New Roman"/>
          <w:sz w:val="24"/>
          <w:szCs w:val="24"/>
          <w:lang w:val="en-US"/>
        </w:rPr>
        <w:t>s</w:t>
      </w:r>
      <w:r w:rsidR="00AA6593" w:rsidRPr="00541658">
        <w:rPr>
          <w:rFonts w:ascii="Times New Roman" w:hAnsi="Times New Roman" w:cs="Times New Roman"/>
          <w:sz w:val="24"/>
          <w:szCs w:val="24"/>
          <w:lang w:val="en-US"/>
        </w:rPr>
        <w:t xml:space="preserve"> </w:t>
      </w:r>
      <w:r w:rsidR="00AA6593">
        <w:rPr>
          <w:rFonts w:ascii="Times New Roman" w:hAnsi="Times New Roman" w:cs="Times New Roman"/>
          <w:sz w:val="24"/>
          <w:szCs w:val="24"/>
          <w:lang w:val="en-US"/>
        </w:rPr>
        <w:t>were</w:t>
      </w:r>
      <w:r w:rsidR="00187C05" w:rsidRPr="00541658">
        <w:rPr>
          <w:rFonts w:ascii="Times New Roman" w:hAnsi="Times New Roman" w:cs="Times New Roman"/>
          <w:sz w:val="24"/>
          <w:szCs w:val="24"/>
          <w:lang w:val="en-US"/>
        </w:rPr>
        <w:t xml:space="preserve"> established</w:t>
      </w:r>
      <w:r w:rsidR="00F20550" w:rsidRPr="00541658">
        <w:rPr>
          <w:rFonts w:ascii="Times New Roman" w:hAnsi="Times New Roman" w:cs="Times New Roman"/>
          <w:sz w:val="24"/>
          <w:szCs w:val="24"/>
          <w:lang w:val="en-US"/>
        </w:rPr>
        <w:t>:</w:t>
      </w:r>
    </w:p>
    <w:p w14:paraId="228A7640" w14:textId="03405846" w:rsidR="004C6351" w:rsidRPr="00541658" w:rsidRDefault="00187C05" w:rsidP="00541658">
      <w:pPr>
        <w:pStyle w:val="ListParagraph"/>
        <w:numPr>
          <w:ilvl w:val="0"/>
          <w:numId w:val="1"/>
        </w:numPr>
        <w:spacing w:after="0" w:line="240" w:lineRule="auto"/>
        <w:jc w:val="both"/>
        <w:rPr>
          <w:rFonts w:ascii="Times New Roman" w:hAnsi="Times New Roman" w:cs="Times New Roman"/>
          <w:sz w:val="24"/>
          <w:szCs w:val="24"/>
          <w:lang w:val="en-US"/>
        </w:rPr>
      </w:pPr>
      <w:r w:rsidRPr="00541658">
        <w:rPr>
          <w:rFonts w:ascii="Times New Roman" w:hAnsi="Times New Roman" w:cs="Times New Roman"/>
          <w:b/>
          <w:sz w:val="24"/>
          <w:szCs w:val="24"/>
          <w:lang w:val="en-US"/>
        </w:rPr>
        <w:t>A</w:t>
      </w:r>
      <w:r w:rsidR="004C6351" w:rsidRPr="00541658">
        <w:rPr>
          <w:rFonts w:ascii="Times New Roman" w:hAnsi="Times New Roman" w:cs="Times New Roman"/>
          <w:b/>
          <w:sz w:val="24"/>
          <w:szCs w:val="24"/>
          <w:lang w:val="en-US"/>
        </w:rPr>
        <w:t>rticle 3</w:t>
      </w:r>
      <w:r w:rsidR="00EE0A31" w:rsidRPr="00541658">
        <w:rPr>
          <w:rFonts w:ascii="Times New Roman" w:hAnsi="Times New Roman" w:cs="Times New Roman"/>
          <w:sz w:val="24"/>
          <w:szCs w:val="24"/>
          <w:lang w:val="en-US"/>
        </w:rPr>
        <w:t xml:space="preserve"> (</w:t>
      </w:r>
      <w:r w:rsidR="004C6351" w:rsidRPr="00541658">
        <w:rPr>
          <w:rFonts w:ascii="Times New Roman" w:hAnsi="Times New Roman" w:cs="Times New Roman"/>
          <w:sz w:val="24"/>
          <w:szCs w:val="24"/>
          <w:lang w:val="en-US"/>
        </w:rPr>
        <w:t>torture and ill</w:t>
      </w:r>
      <w:r w:rsidR="00F20550" w:rsidRPr="00541658">
        <w:rPr>
          <w:rFonts w:ascii="Times New Roman" w:hAnsi="Times New Roman" w:cs="Times New Roman"/>
          <w:sz w:val="24"/>
          <w:szCs w:val="24"/>
          <w:lang w:val="en-US"/>
        </w:rPr>
        <w:t>-</w:t>
      </w:r>
      <w:r w:rsidR="004C6351" w:rsidRPr="00541658">
        <w:rPr>
          <w:rFonts w:ascii="Times New Roman" w:hAnsi="Times New Roman" w:cs="Times New Roman"/>
          <w:sz w:val="24"/>
          <w:szCs w:val="24"/>
          <w:lang w:val="en-US"/>
        </w:rPr>
        <w:t>treatment</w:t>
      </w:r>
      <w:r w:rsidR="00EE0A31"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 xml:space="preserve"> The Court</w:t>
      </w:r>
      <w:r w:rsidR="004C6351" w:rsidRPr="00541658">
        <w:rPr>
          <w:rFonts w:ascii="Times New Roman" w:hAnsi="Times New Roman" w:cs="Times New Roman"/>
          <w:sz w:val="24"/>
          <w:szCs w:val="24"/>
          <w:lang w:val="en-US"/>
        </w:rPr>
        <w:t xml:space="preserve"> did not need to establish the details of what had happened to him specifically in Lithuania during that time, </w:t>
      </w:r>
      <w:r w:rsidR="00BF5B78" w:rsidRPr="00541658">
        <w:rPr>
          <w:rFonts w:ascii="Times New Roman" w:hAnsi="Times New Roman" w:cs="Times New Roman"/>
          <w:sz w:val="24"/>
          <w:szCs w:val="24"/>
          <w:lang w:val="en-US"/>
        </w:rPr>
        <w:t xml:space="preserve">as </w:t>
      </w:r>
      <w:r w:rsidR="004C6351" w:rsidRPr="00541658">
        <w:rPr>
          <w:rFonts w:ascii="Times New Roman" w:hAnsi="Times New Roman" w:cs="Times New Roman"/>
          <w:sz w:val="24"/>
          <w:szCs w:val="24"/>
          <w:lang w:val="en-US"/>
        </w:rPr>
        <w:t>there was “</w:t>
      </w:r>
      <w:r w:rsidR="004C6351" w:rsidRPr="00541658">
        <w:rPr>
          <w:rFonts w:ascii="Times New Roman" w:hAnsi="Times New Roman" w:cs="Times New Roman"/>
          <w:i/>
          <w:sz w:val="24"/>
          <w:szCs w:val="24"/>
          <w:lang w:val="en-US"/>
        </w:rPr>
        <w:t>no room for speculation</w:t>
      </w:r>
      <w:r w:rsidR="004C6351" w:rsidRPr="00541658">
        <w:rPr>
          <w:rFonts w:ascii="Times New Roman" w:hAnsi="Times New Roman" w:cs="Times New Roman"/>
          <w:sz w:val="24"/>
          <w:szCs w:val="24"/>
          <w:lang w:val="en-US"/>
        </w:rPr>
        <w:t xml:space="preserve">” </w:t>
      </w:r>
      <w:r w:rsidR="00BF5B78" w:rsidRPr="00541658">
        <w:rPr>
          <w:rFonts w:ascii="Times New Roman" w:hAnsi="Times New Roman" w:cs="Times New Roman"/>
          <w:sz w:val="24"/>
          <w:szCs w:val="24"/>
          <w:lang w:val="en-US"/>
        </w:rPr>
        <w:t xml:space="preserve">that the </w:t>
      </w:r>
      <w:r w:rsidR="004C6351" w:rsidRPr="00541658">
        <w:rPr>
          <w:rFonts w:ascii="Times New Roman" w:hAnsi="Times New Roman" w:cs="Times New Roman"/>
          <w:sz w:val="24"/>
          <w:szCs w:val="24"/>
          <w:lang w:val="en-US"/>
        </w:rPr>
        <w:t>inhumane condit</w:t>
      </w:r>
      <w:r w:rsidR="00655582" w:rsidRPr="00541658">
        <w:rPr>
          <w:rFonts w:ascii="Times New Roman" w:hAnsi="Times New Roman" w:cs="Times New Roman"/>
          <w:sz w:val="24"/>
          <w:szCs w:val="24"/>
          <w:lang w:val="en-US"/>
        </w:rPr>
        <w:t>ions in which he was held (</w:t>
      </w:r>
      <w:r w:rsidR="0070746B" w:rsidRPr="00541658">
        <w:rPr>
          <w:rFonts w:ascii="Times New Roman" w:hAnsi="Times New Roman" w:cs="Times New Roman"/>
          <w:sz w:val="24"/>
          <w:szCs w:val="24"/>
          <w:lang w:val="en-US"/>
        </w:rPr>
        <w:t xml:space="preserve">para </w:t>
      </w:r>
      <w:r w:rsidR="00655582" w:rsidRPr="00541658">
        <w:rPr>
          <w:rFonts w:ascii="Times New Roman" w:hAnsi="Times New Roman" w:cs="Times New Roman"/>
          <w:sz w:val="24"/>
          <w:szCs w:val="24"/>
          <w:lang w:val="en-US"/>
        </w:rPr>
        <w:t>552)</w:t>
      </w:r>
      <w:r w:rsidR="00BF5B78" w:rsidRPr="00541658">
        <w:rPr>
          <w:rFonts w:ascii="Times New Roman" w:hAnsi="Times New Roman" w:cs="Times New Roman"/>
          <w:sz w:val="24"/>
          <w:szCs w:val="24"/>
          <w:lang w:val="en-US"/>
        </w:rPr>
        <w:t xml:space="preserve"> themselves </w:t>
      </w:r>
      <w:r w:rsidR="00655582" w:rsidRPr="00541658">
        <w:rPr>
          <w:rFonts w:ascii="Times New Roman" w:hAnsi="Times New Roman" w:cs="Times New Roman"/>
          <w:sz w:val="24"/>
          <w:szCs w:val="24"/>
          <w:lang w:val="en-US"/>
        </w:rPr>
        <w:t>violate</w:t>
      </w:r>
      <w:r w:rsidRPr="00541658">
        <w:rPr>
          <w:rFonts w:ascii="Times New Roman" w:hAnsi="Times New Roman" w:cs="Times New Roman"/>
          <w:sz w:val="24"/>
          <w:szCs w:val="24"/>
          <w:lang w:val="en-US"/>
        </w:rPr>
        <w:t>d</w:t>
      </w:r>
      <w:r w:rsidR="00655582" w:rsidRPr="00541658">
        <w:rPr>
          <w:rFonts w:ascii="Times New Roman" w:hAnsi="Times New Roman" w:cs="Times New Roman"/>
          <w:sz w:val="24"/>
          <w:szCs w:val="24"/>
          <w:lang w:val="en-US"/>
        </w:rPr>
        <w:t xml:space="preserve"> Article 3</w:t>
      </w:r>
      <w:r w:rsidR="002A738F"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a situation </w:t>
      </w:r>
      <w:r w:rsidR="002A738F" w:rsidRPr="00541658">
        <w:rPr>
          <w:rFonts w:ascii="Times New Roman" w:hAnsi="Times New Roman" w:cs="Times New Roman"/>
          <w:sz w:val="24"/>
          <w:szCs w:val="24"/>
          <w:lang w:val="en-US"/>
        </w:rPr>
        <w:t>made possible by Lithuanian involvement</w:t>
      </w:r>
      <w:r w:rsidR="00094681" w:rsidRPr="00541658">
        <w:rPr>
          <w:rFonts w:ascii="Times New Roman" w:hAnsi="Times New Roman" w:cs="Times New Roman"/>
          <w:sz w:val="24"/>
          <w:szCs w:val="24"/>
          <w:lang w:val="en-US"/>
        </w:rPr>
        <w:t>.</w:t>
      </w:r>
      <w:r w:rsidR="004C6351" w:rsidRPr="00541658">
        <w:rPr>
          <w:rFonts w:ascii="Times New Roman" w:hAnsi="Times New Roman" w:cs="Times New Roman"/>
          <w:sz w:val="24"/>
          <w:szCs w:val="24"/>
          <w:lang w:val="en-US"/>
        </w:rPr>
        <w:t xml:space="preserve"> </w:t>
      </w:r>
      <w:r w:rsidR="00545785" w:rsidRPr="00541658">
        <w:rPr>
          <w:rFonts w:ascii="Times New Roman" w:hAnsi="Times New Roman" w:cs="Times New Roman"/>
          <w:sz w:val="24"/>
          <w:szCs w:val="24"/>
          <w:lang w:val="en-US"/>
        </w:rPr>
        <w:t>The procedural obligations to prevent torture and ill treatment were violated.</w:t>
      </w:r>
    </w:p>
    <w:p w14:paraId="34E749C5" w14:textId="7FA3AF59" w:rsidR="00D469D1" w:rsidRPr="00541658" w:rsidRDefault="00D469D1" w:rsidP="00AE68B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Secret detention plainly violated </w:t>
      </w:r>
      <w:r w:rsidR="00187C05" w:rsidRPr="00541658">
        <w:rPr>
          <w:rFonts w:ascii="Times New Roman" w:hAnsi="Times New Roman" w:cs="Times New Roman"/>
          <w:b/>
          <w:sz w:val="24"/>
          <w:szCs w:val="24"/>
          <w:lang w:val="en-US"/>
        </w:rPr>
        <w:t>A</w:t>
      </w:r>
      <w:r w:rsidRPr="00541658">
        <w:rPr>
          <w:rFonts w:ascii="Times New Roman" w:hAnsi="Times New Roman" w:cs="Times New Roman"/>
          <w:b/>
          <w:sz w:val="24"/>
          <w:szCs w:val="24"/>
          <w:lang w:val="en-US"/>
        </w:rPr>
        <w:t>rticle 5,</w:t>
      </w:r>
      <w:r w:rsidRPr="00541658">
        <w:rPr>
          <w:rFonts w:ascii="Times New Roman" w:hAnsi="Times New Roman" w:cs="Times New Roman"/>
          <w:sz w:val="24"/>
          <w:szCs w:val="24"/>
          <w:lang w:val="en-US"/>
        </w:rPr>
        <w:t xml:space="preserve"> </w:t>
      </w:r>
      <w:r w:rsidR="00187C05" w:rsidRPr="00541658">
        <w:rPr>
          <w:rFonts w:ascii="Times New Roman" w:hAnsi="Times New Roman" w:cs="Times New Roman"/>
          <w:sz w:val="24"/>
          <w:szCs w:val="24"/>
          <w:lang w:val="en-US"/>
        </w:rPr>
        <w:t xml:space="preserve">as </w:t>
      </w:r>
      <w:r w:rsidRPr="00541658">
        <w:rPr>
          <w:rFonts w:ascii="Times New Roman" w:hAnsi="Times New Roman" w:cs="Times New Roman"/>
          <w:sz w:val="24"/>
          <w:szCs w:val="24"/>
          <w:lang w:val="en-US"/>
        </w:rPr>
        <w:t>“</w:t>
      </w:r>
      <w:r w:rsidRPr="00541658">
        <w:rPr>
          <w:rFonts w:ascii="Times New Roman" w:hAnsi="Times New Roman" w:cs="Times New Roman"/>
          <w:i/>
          <w:sz w:val="24"/>
          <w:szCs w:val="24"/>
          <w:lang w:val="en-US"/>
        </w:rPr>
        <w:t xml:space="preserve">the whole purpose of the </w:t>
      </w:r>
      <w:proofErr w:type="spellStart"/>
      <w:r w:rsidRPr="00541658">
        <w:rPr>
          <w:rFonts w:ascii="Times New Roman" w:hAnsi="Times New Roman" w:cs="Times New Roman"/>
          <w:i/>
          <w:sz w:val="24"/>
          <w:szCs w:val="24"/>
          <w:lang w:val="en-US"/>
        </w:rPr>
        <w:t>programme</w:t>
      </w:r>
      <w:proofErr w:type="spellEnd"/>
      <w:r w:rsidRPr="00541658">
        <w:rPr>
          <w:rFonts w:ascii="Times New Roman" w:hAnsi="Times New Roman" w:cs="Times New Roman"/>
          <w:i/>
          <w:sz w:val="24"/>
          <w:szCs w:val="24"/>
          <w:lang w:val="en-US"/>
        </w:rPr>
        <w:t xml:space="preserve"> was to remove persons from any legal protection</w:t>
      </w:r>
      <w:r w:rsidRPr="00541658">
        <w:rPr>
          <w:rFonts w:ascii="Times New Roman" w:hAnsi="Times New Roman" w:cs="Times New Roman"/>
          <w:sz w:val="24"/>
          <w:szCs w:val="24"/>
          <w:lang w:val="en-US"/>
        </w:rPr>
        <w:t>”.</w:t>
      </w:r>
      <w:r w:rsidR="00E15177" w:rsidRPr="00541658">
        <w:rPr>
          <w:rFonts w:ascii="Times New Roman" w:hAnsi="Times New Roman" w:cs="Times New Roman"/>
          <w:sz w:val="24"/>
          <w:szCs w:val="24"/>
          <w:lang w:val="en-US"/>
        </w:rPr>
        <w:t xml:space="preserve"> </w:t>
      </w:r>
      <w:r w:rsidR="002A738F" w:rsidRPr="00541658">
        <w:rPr>
          <w:rFonts w:ascii="Times New Roman" w:hAnsi="Times New Roman" w:cs="Times New Roman"/>
          <w:sz w:val="24"/>
          <w:szCs w:val="24"/>
          <w:lang w:val="en-US"/>
        </w:rPr>
        <w:t xml:space="preserve">Perhaps in response to the applicant’s argument that he was victim of </w:t>
      </w:r>
      <w:r w:rsidR="00E15177" w:rsidRPr="00541658">
        <w:rPr>
          <w:rFonts w:ascii="Times New Roman" w:hAnsi="Times New Roman" w:cs="Times New Roman"/>
          <w:sz w:val="24"/>
          <w:szCs w:val="24"/>
          <w:lang w:val="en-US"/>
        </w:rPr>
        <w:t>enforced disappearance of person</w:t>
      </w:r>
      <w:r w:rsidR="002A738F" w:rsidRPr="00541658">
        <w:rPr>
          <w:rFonts w:ascii="Times New Roman" w:hAnsi="Times New Roman" w:cs="Times New Roman"/>
          <w:sz w:val="24"/>
          <w:szCs w:val="24"/>
          <w:lang w:val="en-US"/>
        </w:rPr>
        <w:t>s (as other UN bodies have established)</w:t>
      </w:r>
      <w:r w:rsidR="00E15177" w:rsidRPr="00541658">
        <w:rPr>
          <w:rFonts w:ascii="Times New Roman" w:hAnsi="Times New Roman" w:cs="Times New Roman"/>
          <w:sz w:val="24"/>
          <w:szCs w:val="24"/>
          <w:lang w:val="en-US"/>
        </w:rPr>
        <w:t xml:space="preserve">, </w:t>
      </w:r>
      <w:r w:rsidR="002A738F" w:rsidRPr="00541658">
        <w:rPr>
          <w:rFonts w:ascii="Times New Roman" w:hAnsi="Times New Roman" w:cs="Times New Roman"/>
          <w:sz w:val="24"/>
          <w:szCs w:val="24"/>
          <w:lang w:val="en-US"/>
        </w:rPr>
        <w:t xml:space="preserve">the Court referred to </w:t>
      </w:r>
      <w:r w:rsidR="00E15177" w:rsidRPr="00541658">
        <w:rPr>
          <w:rFonts w:ascii="Times New Roman" w:hAnsi="Times New Roman" w:cs="Times New Roman"/>
          <w:sz w:val="24"/>
          <w:szCs w:val="24"/>
          <w:lang w:val="en-US"/>
        </w:rPr>
        <w:t>breach</w:t>
      </w:r>
      <w:r w:rsidR="002A738F" w:rsidRPr="00541658">
        <w:rPr>
          <w:rFonts w:ascii="Times New Roman" w:hAnsi="Times New Roman" w:cs="Times New Roman"/>
          <w:sz w:val="24"/>
          <w:szCs w:val="24"/>
          <w:lang w:val="en-US"/>
        </w:rPr>
        <w:t>es</w:t>
      </w:r>
      <w:r w:rsidR="00E15177" w:rsidRPr="00541658">
        <w:rPr>
          <w:rFonts w:ascii="Times New Roman" w:hAnsi="Times New Roman" w:cs="Times New Roman"/>
          <w:sz w:val="24"/>
          <w:szCs w:val="24"/>
          <w:lang w:val="en-US"/>
        </w:rPr>
        <w:t xml:space="preserve"> of the obligations to prevent such </w:t>
      </w:r>
      <w:r w:rsidR="00187C05" w:rsidRPr="00541658">
        <w:rPr>
          <w:rFonts w:ascii="Times New Roman" w:hAnsi="Times New Roman" w:cs="Times New Roman"/>
          <w:sz w:val="24"/>
          <w:szCs w:val="24"/>
          <w:lang w:val="en-US"/>
        </w:rPr>
        <w:t>“</w:t>
      </w:r>
      <w:r w:rsidR="00E15177" w:rsidRPr="00541658">
        <w:rPr>
          <w:rFonts w:ascii="Times New Roman" w:hAnsi="Times New Roman" w:cs="Times New Roman"/>
          <w:sz w:val="24"/>
          <w:szCs w:val="24"/>
          <w:lang w:val="en-US"/>
        </w:rPr>
        <w:t>disappearance</w:t>
      </w:r>
      <w:r w:rsidR="00187C05" w:rsidRPr="00541658">
        <w:rPr>
          <w:rFonts w:ascii="Times New Roman" w:hAnsi="Times New Roman" w:cs="Times New Roman"/>
          <w:sz w:val="24"/>
          <w:szCs w:val="24"/>
          <w:lang w:val="en-US"/>
        </w:rPr>
        <w:t>”</w:t>
      </w:r>
      <w:r w:rsidR="00E15177" w:rsidRPr="00541658">
        <w:rPr>
          <w:rFonts w:ascii="Times New Roman" w:hAnsi="Times New Roman" w:cs="Times New Roman"/>
          <w:sz w:val="24"/>
          <w:szCs w:val="24"/>
          <w:lang w:val="en-US"/>
        </w:rPr>
        <w:t xml:space="preserve"> of persons</w:t>
      </w:r>
      <w:r w:rsidR="00094681" w:rsidRPr="00541658">
        <w:rPr>
          <w:rFonts w:ascii="Times New Roman" w:hAnsi="Times New Roman" w:cs="Times New Roman"/>
          <w:sz w:val="24"/>
          <w:szCs w:val="24"/>
          <w:lang w:val="en-US"/>
        </w:rPr>
        <w:t>.</w:t>
      </w:r>
      <w:r w:rsidR="00E15177" w:rsidRPr="00541658">
        <w:rPr>
          <w:rFonts w:ascii="Times New Roman" w:hAnsi="Times New Roman" w:cs="Times New Roman"/>
          <w:sz w:val="24"/>
          <w:szCs w:val="24"/>
          <w:lang w:val="en-US"/>
        </w:rPr>
        <w:t xml:space="preserve">  </w:t>
      </w:r>
    </w:p>
    <w:p w14:paraId="2805E036" w14:textId="034A7FA8" w:rsidR="00F20550" w:rsidRPr="00541658" w:rsidRDefault="00187C05" w:rsidP="00AE68B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N</w:t>
      </w:r>
      <w:r w:rsidR="002A738F" w:rsidRPr="00541658">
        <w:rPr>
          <w:rFonts w:ascii="Times New Roman" w:hAnsi="Times New Roman" w:cs="Times New Roman"/>
          <w:sz w:val="24"/>
          <w:szCs w:val="24"/>
          <w:lang w:val="en-US"/>
        </w:rPr>
        <w:t>on-refoulement</w:t>
      </w:r>
      <w:r w:rsidR="00094681" w:rsidRPr="00541658">
        <w:rPr>
          <w:rFonts w:ascii="Times New Roman" w:hAnsi="Times New Roman" w:cs="Times New Roman"/>
          <w:sz w:val="24"/>
          <w:szCs w:val="24"/>
          <w:lang w:val="en-US"/>
        </w:rPr>
        <w:t xml:space="preserve"> (</w:t>
      </w:r>
      <w:r w:rsidR="00094681" w:rsidRPr="00541658">
        <w:rPr>
          <w:rFonts w:ascii="Times New Roman" w:hAnsi="Times New Roman" w:cs="Times New Roman"/>
          <w:b/>
          <w:sz w:val="24"/>
          <w:szCs w:val="24"/>
          <w:lang w:val="en-US"/>
        </w:rPr>
        <w:t>A</w:t>
      </w:r>
      <w:r w:rsidR="00655582" w:rsidRPr="00541658">
        <w:rPr>
          <w:rFonts w:ascii="Times New Roman" w:hAnsi="Times New Roman" w:cs="Times New Roman"/>
          <w:b/>
          <w:sz w:val="24"/>
          <w:szCs w:val="24"/>
          <w:lang w:val="en-US"/>
        </w:rPr>
        <w:t>rticles 3 and 5</w:t>
      </w:r>
      <w:r w:rsidR="00094681" w:rsidRPr="00541658">
        <w:rPr>
          <w:rFonts w:ascii="Times New Roman" w:hAnsi="Times New Roman" w:cs="Times New Roman"/>
          <w:sz w:val="24"/>
          <w:szCs w:val="24"/>
          <w:lang w:val="en-US"/>
        </w:rPr>
        <w:t>)</w:t>
      </w:r>
      <w:r w:rsidR="00655582" w:rsidRPr="00541658">
        <w:rPr>
          <w:rFonts w:ascii="Times New Roman" w:hAnsi="Times New Roman" w:cs="Times New Roman"/>
          <w:sz w:val="24"/>
          <w:szCs w:val="24"/>
          <w:lang w:val="en-US"/>
        </w:rPr>
        <w:t xml:space="preserve"> through </w:t>
      </w:r>
      <w:r w:rsidR="002A738F" w:rsidRPr="00541658">
        <w:rPr>
          <w:rFonts w:ascii="Times New Roman" w:hAnsi="Times New Roman" w:cs="Times New Roman"/>
          <w:sz w:val="24"/>
          <w:szCs w:val="24"/>
          <w:lang w:val="en-US"/>
        </w:rPr>
        <w:t xml:space="preserve">his </w:t>
      </w:r>
      <w:r w:rsidR="00F20550" w:rsidRPr="00541658">
        <w:rPr>
          <w:rFonts w:ascii="Times New Roman" w:hAnsi="Times New Roman" w:cs="Times New Roman"/>
          <w:sz w:val="24"/>
          <w:szCs w:val="24"/>
          <w:lang w:val="en-US"/>
        </w:rPr>
        <w:t xml:space="preserve">transfer </w:t>
      </w:r>
      <w:r w:rsidR="0071025E" w:rsidRPr="00541658">
        <w:rPr>
          <w:rFonts w:ascii="Times New Roman" w:hAnsi="Times New Roman" w:cs="Times New Roman"/>
          <w:sz w:val="24"/>
          <w:szCs w:val="24"/>
          <w:lang w:val="en-US"/>
        </w:rPr>
        <w:t>from Lithuania</w:t>
      </w:r>
      <w:r w:rsidR="00094681" w:rsidRPr="00541658">
        <w:rPr>
          <w:rFonts w:ascii="Times New Roman" w:hAnsi="Times New Roman" w:cs="Times New Roman"/>
          <w:sz w:val="24"/>
          <w:szCs w:val="24"/>
          <w:lang w:val="en-US"/>
        </w:rPr>
        <w:t>,</w:t>
      </w:r>
      <w:r w:rsidR="002A738F" w:rsidRPr="00541658">
        <w:rPr>
          <w:rFonts w:ascii="Times New Roman" w:hAnsi="Times New Roman" w:cs="Times New Roman"/>
          <w:sz w:val="24"/>
          <w:szCs w:val="24"/>
          <w:lang w:val="en-US"/>
        </w:rPr>
        <w:t xml:space="preserve"> despite foreseeable risk of</w:t>
      </w:r>
      <w:r w:rsidR="0071025E" w:rsidRPr="00541658">
        <w:rPr>
          <w:rFonts w:ascii="Times New Roman" w:hAnsi="Times New Roman" w:cs="Times New Roman"/>
          <w:sz w:val="24"/>
          <w:szCs w:val="24"/>
          <w:lang w:val="en-US"/>
        </w:rPr>
        <w:t xml:space="preserve"> f</w:t>
      </w:r>
      <w:r w:rsidR="00655582" w:rsidRPr="00541658">
        <w:rPr>
          <w:rFonts w:ascii="Times New Roman" w:hAnsi="Times New Roman" w:cs="Times New Roman"/>
          <w:sz w:val="24"/>
          <w:szCs w:val="24"/>
          <w:lang w:val="en-US"/>
        </w:rPr>
        <w:t>urther rendition and on-going arbitrary detention</w:t>
      </w:r>
      <w:r w:rsidR="00991972" w:rsidRPr="00541658">
        <w:rPr>
          <w:rFonts w:ascii="Times New Roman" w:hAnsi="Times New Roman" w:cs="Times New Roman"/>
          <w:sz w:val="24"/>
          <w:szCs w:val="24"/>
          <w:lang w:val="en-US"/>
        </w:rPr>
        <w:t xml:space="preserve"> </w:t>
      </w:r>
      <w:r w:rsidR="002A738F" w:rsidRPr="00541658">
        <w:rPr>
          <w:rFonts w:ascii="Times New Roman" w:hAnsi="Times New Roman" w:cs="Times New Roman"/>
          <w:sz w:val="24"/>
          <w:szCs w:val="24"/>
          <w:lang w:val="en-US"/>
        </w:rPr>
        <w:t>in Guantanamo</w:t>
      </w:r>
      <w:r w:rsidR="00EE0A31" w:rsidRPr="00541658">
        <w:rPr>
          <w:rFonts w:ascii="Times New Roman" w:hAnsi="Times New Roman" w:cs="Times New Roman"/>
          <w:sz w:val="24"/>
          <w:szCs w:val="24"/>
          <w:lang w:val="en-US"/>
        </w:rPr>
        <w:t>.</w:t>
      </w:r>
    </w:p>
    <w:p w14:paraId="047742B3" w14:textId="4849005F" w:rsidR="004C6351" w:rsidRPr="00541658" w:rsidRDefault="00094681" w:rsidP="00AE68B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b/>
          <w:sz w:val="24"/>
          <w:szCs w:val="24"/>
          <w:lang w:val="en-US"/>
        </w:rPr>
        <w:t>A</w:t>
      </w:r>
      <w:r w:rsidR="004C6351" w:rsidRPr="00541658">
        <w:rPr>
          <w:rFonts w:ascii="Times New Roman" w:hAnsi="Times New Roman" w:cs="Times New Roman"/>
          <w:b/>
          <w:sz w:val="24"/>
          <w:szCs w:val="24"/>
          <w:lang w:val="en-US"/>
        </w:rPr>
        <w:t>rt</w:t>
      </w:r>
      <w:r w:rsidR="002A738F" w:rsidRPr="00541658">
        <w:rPr>
          <w:rFonts w:ascii="Times New Roman" w:hAnsi="Times New Roman" w:cs="Times New Roman"/>
          <w:b/>
          <w:sz w:val="24"/>
          <w:szCs w:val="24"/>
          <w:lang w:val="en-US"/>
        </w:rPr>
        <w:t>icle</w:t>
      </w:r>
      <w:r w:rsidR="004C6351" w:rsidRPr="00541658">
        <w:rPr>
          <w:rFonts w:ascii="Times New Roman" w:hAnsi="Times New Roman" w:cs="Times New Roman"/>
          <w:b/>
          <w:sz w:val="24"/>
          <w:szCs w:val="24"/>
          <w:lang w:val="en-US"/>
        </w:rPr>
        <w:t xml:space="preserve"> 8</w:t>
      </w:r>
      <w:r w:rsidR="004C6351" w:rsidRPr="00541658">
        <w:rPr>
          <w:rFonts w:ascii="Times New Roman" w:hAnsi="Times New Roman" w:cs="Times New Roman"/>
          <w:sz w:val="24"/>
          <w:szCs w:val="24"/>
          <w:lang w:val="en-US"/>
        </w:rPr>
        <w:t xml:space="preserve"> </w:t>
      </w:r>
      <w:r w:rsidR="00AA6593">
        <w:rPr>
          <w:rFonts w:ascii="Times New Roman" w:hAnsi="Times New Roman" w:cs="Times New Roman"/>
          <w:sz w:val="24"/>
          <w:szCs w:val="24"/>
          <w:lang w:val="en-US"/>
        </w:rPr>
        <w:t xml:space="preserve">right to </w:t>
      </w:r>
      <w:r w:rsidR="004C6351" w:rsidRPr="00541658">
        <w:rPr>
          <w:rFonts w:ascii="Times New Roman" w:hAnsi="Times New Roman" w:cs="Times New Roman"/>
          <w:sz w:val="24"/>
          <w:szCs w:val="24"/>
          <w:lang w:val="en-US"/>
        </w:rPr>
        <w:t xml:space="preserve">private </w:t>
      </w:r>
      <w:r w:rsidR="00345D30" w:rsidRPr="00541658">
        <w:rPr>
          <w:rFonts w:ascii="Times New Roman" w:hAnsi="Times New Roman" w:cs="Times New Roman"/>
          <w:sz w:val="24"/>
          <w:szCs w:val="24"/>
          <w:lang w:val="en-US"/>
        </w:rPr>
        <w:t>and</w:t>
      </w:r>
      <w:r w:rsidR="004C6351" w:rsidRPr="00541658">
        <w:rPr>
          <w:rFonts w:ascii="Times New Roman" w:hAnsi="Times New Roman" w:cs="Times New Roman"/>
          <w:sz w:val="24"/>
          <w:szCs w:val="24"/>
          <w:lang w:val="en-US"/>
        </w:rPr>
        <w:t xml:space="preserve"> family life</w:t>
      </w:r>
      <w:r w:rsidR="00F20550" w:rsidRPr="00541658">
        <w:rPr>
          <w:rFonts w:ascii="Times New Roman" w:hAnsi="Times New Roman" w:cs="Times New Roman"/>
          <w:sz w:val="24"/>
          <w:szCs w:val="24"/>
          <w:lang w:val="en-US"/>
        </w:rPr>
        <w:t xml:space="preserve">, </w:t>
      </w:r>
      <w:r w:rsidR="00EE0A31" w:rsidRPr="00541658">
        <w:rPr>
          <w:rFonts w:ascii="Times New Roman" w:hAnsi="Times New Roman" w:cs="Times New Roman"/>
          <w:sz w:val="24"/>
          <w:szCs w:val="24"/>
          <w:lang w:val="en-US"/>
        </w:rPr>
        <w:t xml:space="preserve">was violated </w:t>
      </w:r>
      <w:r w:rsidR="0071025E" w:rsidRPr="00541658">
        <w:rPr>
          <w:rFonts w:ascii="Times New Roman" w:hAnsi="Times New Roman" w:cs="Times New Roman"/>
          <w:sz w:val="24"/>
          <w:szCs w:val="24"/>
          <w:lang w:val="en-US"/>
        </w:rPr>
        <w:t xml:space="preserve">through the impact on </w:t>
      </w:r>
      <w:r w:rsidR="002A738F" w:rsidRPr="00541658">
        <w:rPr>
          <w:rFonts w:ascii="Times New Roman" w:hAnsi="Times New Roman" w:cs="Times New Roman"/>
          <w:sz w:val="24"/>
          <w:szCs w:val="24"/>
          <w:lang w:val="en-US"/>
        </w:rPr>
        <w:t xml:space="preserve">his </w:t>
      </w:r>
      <w:r w:rsidR="0071025E" w:rsidRPr="00541658">
        <w:rPr>
          <w:rFonts w:ascii="Times New Roman" w:hAnsi="Times New Roman" w:cs="Times New Roman"/>
          <w:sz w:val="24"/>
          <w:szCs w:val="24"/>
          <w:lang w:val="en-US"/>
        </w:rPr>
        <w:t xml:space="preserve">personal development and </w:t>
      </w:r>
      <w:r w:rsidRPr="00541658">
        <w:rPr>
          <w:rFonts w:ascii="Times New Roman" w:hAnsi="Times New Roman" w:cs="Times New Roman"/>
          <w:sz w:val="24"/>
          <w:szCs w:val="24"/>
          <w:lang w:val="en-US"/>
        </w:rPr>
        <w:t>“</w:t>
      </w:r>
      <w:r w:rsidR="00F20550" w:rsidRPr="00541658">
        <w:rPr>
          <w:rFonts w:ascii="Times New Roman" w:hAnsi="Times New Roman" w:cs="Times New Roman"/>
          <w:sz w:val="24"/>
          <w:szCs w:val="24"/>
          <w:lang w:val="en-US"/>
        </w:rPr>
        <w:t>dignity</w:t>
      </w:r>
      <w:r w:rsidR="0071025E"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w:t>
      </w:r>
      <w:r w:rsidR="0071025E" w:rsidRPr="00541658">
        <w:rPr>
          <w:rFonts w:ascii="Times New Roman" w:hAnsi="Times New Roman" w:cs="Times New Roman"/>
          <w:sz w:val="24"/>
          <w:szCs w:val="24"/>
          <w:lang w:val="en-US"/>
        </w:rPr>
        <w:t xml:space="preserve"> at the core of the Convention and this</w:t>
      </w:r>
      <w:r w:rsidR="00F20550" w:rsidRPr="00541658">
        <w:rPr>
          <w:rFonts w:ascii="Times New Roman" w:hAnsi="Times New Roman" w:cs="Times New Roman"/>
          <w:sz w:val="24"/>
          <w:szCs w:val="24"/>
          <w:lang w:val="en-US"/>
        </w:rPr>
        <w:t xml:space="preserve"> case</w:t>
      </w:r>
      <w:r w:rsidRPr="00541658">
        <w:rPr>
          <w:rFonts w:ascii="Times New Roman" w:hAnsi="Times New Roman" w:cs="Times New Roman"/>
          <w:sz w:val="24"/>
          <w:szCs w:val="24"/>
          <w:lang w:val="en-US"/>
        </w:rPr>
        <w:t>.</w:t>
      </w:r>
    </w:p>
    <w:p w14:paraId="6E4680A7" w14:textId="6BA15BD0" w:rsidR="00732E72" w:rsidRPr="00541658" w:rsidRDefault="00732E72" w:rsidP="00991972">
      <w:pPr>
        <w:pStyle w:val="ListParagraph"/>
        <w:numPr>
          <w:ilvl w:val="0"/>
          <w:numId w:val="1"/>
        </w:numPr>
        <w:spacing w:line="240" w:lineRule="auto"/>
        <w:jc w:val="both"/>
        <w:rPr>
          <w:rFonts w:ascii="Times New Roman" w:hAnsi="Times New Roman" w:cs="Times New Roman"/>
          <w:sz w:val="24"/>
          <w:szCs w:val="24"/>
          <w:lang w:val="en-US"/>
        </w:rPr>
      </w:pPr>
      <w:r w:rsidRPr="00541658">
        <w:rPr>
          <w:rFonts w:ascii="Times New Roman" w:hAnsi="Times New Roman" w:cs="Times New Roman"/>
          <w:b/>
          <w:sz w:val="24"/>
          <w:szCs w:val="24"/>
          <w:lang w:val="en-US"/>
        </w:rPr>
        <w:t>Article 13</w:t>
      </w:r>
      <w:r w:rsidR="00EE0A31" w:rsidRPr="00541658">
        <w:rPr>
          <w:rFonts w:ascii="Times New Roman" w:hAnsi="Times New Roman" w:cs="Times New Roman"/>
          <w:sz w:val="24"/>
          <w:szCs w:val="24"/>
          <w:lang w:val="en-US"/>
        </w:rPr>
        <w:t xml:space="preserve"> was violated</w:t>
      </w:r>
      <w:r w:rsidR="00991972" w:rsidRPr="00541658">
        <w:rPr>
          <w:rFonts w:ascii="Times New Roman" w:hAnsi="Times New Roman" w:cs="Times New Roman"/>
          <w:sz w:val="24"/>
          <w:szCs w:val="24"/>
          <w:lang w:val="en-US"/>
        </w:rPr>
        <w:t xml:space="preserve">, along with </w:t>
      </w:r>
      <w:r w:rsidR="00991972" w:rsidRPr="00541658">
        <w:rPr>
          <w:rFonts w:ascii="Times New Roman" w:hAnsi="Times New Roman" w:cs="Times New Roman"/>
          <w:b/>
          <w:bCs/>
          <w:sz w:val="24"/>
          <w:szCs w:val="24"/>
          <w:lang w:val="en-US"/>
        </w:rPr>
        <w:t>Article 3</w:t>
      </w:r>
      <w:r w:rsidR="00991972"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through </w:t>
      </w:r>
      <w:r w:rsidR="00EE0A31" w:rsidRPr="00541658">
        <w:rPr>
          <w:rFonts w:ascii="Times New Roman" w:hAnsi="Times New Roman" w:cs="Times New Roman"/>
          <w:sz w:val="24"/>
          <w:szCs w:val="24"/>
          <w:lang w:val="en-US"/>
        </w:rPr>
        <w:t xml:space="preserve">the state’s </w:t>
      </w:r>
      <w:r w:rsidRPr="00541658">
        <w:rPr>
          <w:rFonts w:ascii="Times New Roman" w:hAnsi="Times New Roman" w:cs="Times New Roman"/>
          <w:sz w:val="24"/>
          <w:szCs w:val="24"/>
          <w:lang w:val="en-US"/>
        </w:rPr>
        <w:t>failure to carry out a prompt, thorough and effective investigation as required in cases of this nature and to satisfy the right to truth and</w:t>
      </w:r>
      <w:r w:rsidR="00991972" w:rsidRPr="00541658">
        <w:rPr>
          <w:rFonts w:ascii="Times New Roman" w:hAnsi="Times New Roman" w:cs="Times New Roman"/>
          <w:sz w:val="24"/>
          <w:szCs w:val="24"/>
          <w:lang w:val="en-US"/>
        </w:rPr>
        <w:t xml:space="preserve"> its</w:t>
      </w:r>
      <w:r w:rsidRPr="00541658">
        <w:rPr>
          <w:rFonts w:ascii="Times New Roman" w:hAnsi="Times New Roman" w:cs="Times New Roman"/>
          <w:sz w:val="24"/>
          <w:szCs w:val="24"/>
          <w:lang w:val="en-US"/>
        </w:rPr>
        <w:t xml:space="preserve"> obligations in respect of accountability</w:t>
      </w:r>
      <w:r w:rsidR="0070746B"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w:t>
      </w:r>
      <w:proofErr w:type="spellStart"/>
      <w:r w:rsidR="00991972" w:rsidRPr="00541658">
        <w:rPr>
          <w:rFonts w:ascii="Times New Roman" w:hAnsi="Times New Roman" w:cs="Times New Roman"/>
          <w:sz w:val="24"/>
          <w:szCs w:val="24"/>
          <w:lang w:val="en-US"/>
        </w:rPr>
        <w:t>eg.</w:t>
      </w:r>
      <w:proofErr w:type="spellEnd"/>
      <w:r w:rsidR="00991972" w:rsidRPr="00541658">
        <w:rPr>
          <w:rFonts w:ascii="Times New Roman" w:hAnsi="Times New Roman" w:cs="Times New Roman"/>
          <w:sz w:val="24"/>
          <w:szCs w:val="24"/>
          <w:lang w:val="en-US"/>
        </w:rPr>
        <w:t xml:space="preserve"> </w:t>
      </w:r>
      <w:r w:rsidR="0070746B" w:rsidRPr="00541658">
        <w:rPr>
          <w:rFonts w:ascii="Times New Roman" w:hAnsi="Times New Roman" w:cs="Times New Roman"/>
          <w:sz w:val="24"/>
          <w:szCs w:val="24"/>
          <w:lang w:val="en-US"/>
        </w:rPr>
        <w:t xml:space="preserve">para </w:t>
      </w:r>
      <w:r w:rsidRPr="00541658">
        <w:rPr>
          <w:rFonts w:ascii="Times New Roman" w:hAnsi="Times New Roman" w:cs="Times New Roman"/>
          <w:sz w:val="24"/>
          <w:szCs w:val="24"/>
          <w:lang w:val="en-US"/>
        </w:rPr>
        <w:t>676)</w:t>
      </w:r>
      <w:r w:rsidR="00094681" w:rsidRPr="00541658">
        <w:rPr>
          <w:rFonts w:ascii="Times New Roman" w:hAnsi="Times New Roman" w:cs="Times New Roman"/>
          <w:sz w:val="24"/>
          <w:szCs w:val="24"/>
          <w:lang w:val="en-US"/>
        </w:rPr>
        <w:t>.</w:t>
      </w:r>
    </w:p>
    <w:p w14:paraId="21C26647" w14:textId="09140062" w:rsidR="0036476E" w:rsidRPr="00541658" w:rsidRDefault="00991972" w:rsidP="00991972">
      <w:pPr>
        <w:spacing w:line="240" w:lineRule="auto"/>
        <w:jc w:val="both"/>
        <w:rPr>
          <w:rFonts w:ascii="Times New Roman" w:hAnsi="Times New Roman" w:cs="Times New Roman"/>
          <w:i/>
          <w:sz w:val="24"/>
          <w:szCs w:val="24"/>
          <w:lang w:val="en-US"/>
        </w:rPr>
      </w:pPr>
      <w:r w:rsidRPr="00541658">
        <w:rPr>
          <w:rFonts w:ascii="Times New Roman" w:hAnsi="Times New Roman" w:cs="Times New Roman"/>
          <w:sz w:val="24"/>
          <w:szCs w:val="24"/>
          <w:lang w:val="en-US"/>
        </w:rPr>
        <w:t xml:space="preserve">This last point was critical and contentious throughout the case. </w:t>
      </w:r>
      <w:r w:rsidR="00AA6593">
        <w:rPr>
          <w:rFonts w:ascii="Times New Roman" w:hAnsi="Times New Roman" w:cs="Times New Roman"/>
          <w:sz w:val="24"/>
          <w:szCs w:val="24"/>
          <w:lang w:val="en-US"/>
        </w:rPr>
        <w:t>Lithuania</w:t>
      </w:r>
      <w:r w:rsidR="00AA6593">
        <w:rPr>
          <w:rFonts w:ascii="Times New Roman" w:hAnsi="Times New Roman" w:cs="Times New Roman"/>
          <w:sz w:val="24"/>
          <w:szCs w:val="24"/>
          <w:lang w:val="en-US"/>
        </w:rPr>
        <w:t xml:space="preserve"> </w:t>
      </w:r>
      <w:r w:rsidR="00AA6593" w:rsidRPr="00541658">
        <w:rPr>
          <w:rFonts w:ascii="Times New Roman" w:hAnsi="Times New Roman" w:cs="Times New Roman"/>
          <w:sz w:val="24"/>
          <w:szCs w:val="24"/>
          <w:lang w:val="en-US"/>
        </w:rPr>
        <w:t>had conducted a short</w:t>
      </w:r>
      <w:r w:rsidR="00AA6593">
        <w:rPr>
          <w:rFonts w:ascii="Times New Roman" w:hAnsi="Times New Roman" w:cs="Times New Roman"/>
          <w:sz w:val="24"/>
          <w:szCs w:val="24"/>
          <w:lang w:val="en-US"/>
        </w:rPr>
        <w:t xml:space="preserve"> superficial</w:t>
      </w:r>
      <w:r w:rsidR="00AA6593" w:rsidRPr="00541658">
        <w:rPr>
          <w:rFonts w:ascii="Times New Roman" w:hAnsi="Times New Roman" w:cs="Times New Roman"/>
          <w:sz w:val="24"/>
          <w:szCs w:val="24"/>
          <w:lang w:val="en-US"/>
        </w:rPr>
        <w:t xml:space="preserve"> investigation back in 2009 (following the parliamentary </w:t>
      </w:r>
      <w:proofErr w:type="spellStart"/>
      <w:r w:rsidR="00AA6593" w:rsidRPr="00541658">
        <w:rPr>
          <w:rFonts w:ascii="Times New Roman" w:hAnsi="Times New Roman" w:cs="Times New Roman"/>
          <w:sz w:val="24"/>
          <w:szCs w:val="24"/>
          <w:lang w:val="en-US"/>
        </w:rPr>
        <w:t>Seimas</w:t>
      </w:r>
      <w:proofErr w:type="spellEnd"/>
      <w:r w:rsidR="00AA6593" w:rsidRPr="00541658">
        <w:rPr>
          <w:rFonts w:ascii="Times New Roman" w:hAnsi="Times New Roman" w:cs="Times New Roman"/>
          <w:sz w:val="24"/>
          <w:szCs w:val="24"/>
          <w:lang w:val="en-US"/>
        </w:rPr>
        <w:t xml:space="preserve"> report) and “reopened” it following the US Senate Intelligence Committee report in 2015. </w:t>
      </w:r>
      <w:r w:rsidR="001D2D36" w:rsidRPr="00541658">
        <w:rPr>
          <w:rFonts w:ascii="Times New Roman" w:hAnsi="Times New Roman" w:cs="Times New Roman"/>
          <w:sz w:val="24"/>
          <w:szCs w:val="24"/>
          <w:lang w:val="en-US"/>
        </w:rPr>
        <w:t xml:space="preserve">Lithuania </w:t>
      </w:r>
      <w:r w:rsidR="00AA6593">
        <w:rPr>
          <w:rFonts w:ascii="Times New Roman" w:hAnsi="Times New Roman" w:cs="Times New Roman"/>
          <w:sz w:val="24"/>
          <w:szCs w:val="24"/>
          <w:lang w:val="en-US"/>
        </w:rPr>
        <w:t xml:space="preserve">therefore </w:t>
      </w:r>
      <w:r w:rsidR="001D2D36" w:rsidRPr="00541658">
        <w:rPr>
          <w:rFonts w:ascii="Times New Roman" w:hAnsi="Times New Roman" w:cs="Times New Roman"/>
          <w:sz w:val="24"/>
          <w:szCs w:val="24"/>
          <w:lang w:val="en-US"/>
        </w:rPr>
        <w:t xml:space="preserve">argued </w:t>
      </w:r>
      <w:r w:rsidR="001624A7" w:rsidRPr="00541658">
        <w:rPr>
          <w:rFonts w:ascii="Times New Roman" w:hAnsi="Times New Roman" w:cs="Times New Roman"/>
          <w:sz w:val="24"/>
          <w:szCs w:val="24"/>
          <w:lang w:val="en-US"/>
        </w:rPr>
        <w:t xml:space="preserve">that </w:t>
      </w:r>
      <w:r w:rsidRPr="00541658">
        <w:rPr>
          <w:rFonts w:ascii="Times New Roman" w:hAnsi="Times New Roman" w:cs="Times New Roman"/>
          <w:sz w:val="24"/>
          <w:szCs w:val="24"/>
          <w:lang w:val="en-US"/>
        </w:rPr>
        <w:t>it had investigated and was still doing so</w:t>
      </w:r>
      <w:r w:rsidR="00AA6593">
        <w:rPr>
          <w:rFonts w:ascii="Times New Roman" w:hAnsi="Times New Roman" w:cs="Times New Roman"/>
          <w:sz w:val="24"/>
          <w:szCs w:val="24"/>
          <w:lang w:val="en-US"/>
        </w:rPr>
        <w:t xml:space="preserve">, such that </w:t>
      </w:r>
      <w:r w:rsidRPr="00541658">
        <w:rPr>
          <w:rFonts w:ascii="Times New Roman" w:hAnsi="Times New Roman" w:cs="Times New Roman"/>
          <w:sz w:val="24"/>
          <w:szCs w:val="24"/>
          <w:lang w:val="en-US"/>
        </w:rPr>
        <w:t xml:space="preserve">domestic remedies had not been exhausted, </w:t>
      </w:r>
      <w:r w:rsidR="00AA6593">
        <w:rPr>
          <w:rFonts w:ascii="Times New Roman" w:hAnsi="Times New Roman" w:cs="Times New Roman"/>
          <w:sz w:val="24"/>
          <w:szCs w:val="24"/>
          <w:lang w:val="en-US"/>
        </w:rPr>
        <w:t>t</w:t>
      </w:r>
      <w:r w:rsidRPr="00541658">
        <w:rPr>
          <w:rFonts w:ascii="Times New Roman" w:hAnsi="Times New Roman" w:cs="Times New Roman"/>
          <w:sz w:val="24"/>
          <w:szCs w:val="24"/>
          <w:lang w:val="en-US"/>
        </w:rPr>
        <w:t>here was</w:t>
      </w:r>
      <w:r w:rsidR="001624A7" w:rsidRPr="00541658">
        <w:rPr>
          <w:rFonts w:ascii="Times New Roman" w:hAnsi="Times New Roman" w:cs="Times New Roman"/>
          <w:sz w:val="24"/>
          <w:szCs w:val="24"/>
          <w:lang w:val="en-US"/>
        </w:rPr>
        <w:t xml:space="preserve"> no violation</w:t>
      </w:r>
      <w:r w:rsidR="00AA6593">
        <w:rPr>
          <w:rFonts w:ascii="Times New Roman" w:hAnsi="Times New Roman" w:cs="Times New Roman"/>
          <w:sz w:val="24"/>
          <w:szCs w:val="24"/>
          <w:lang w:val="en-US"/>
        </w:rPr>
        <w:t xml:space="preserve"> and the facts were covered by </w:t>
      </w:r>
      <w:r w:rsidR="00AA6593" w:rsidRPr="00541658">
        <w:rPr>
          <w:rFonts w:ascii="Times New Roman" w:hAnsi="Times New Roman" w:cs="Times New Roman"/>
          <w:sz w:val="24"/>
          <w:szCs w:val="24"/>
          <w:lang w:val="en-US"/>
        </w:rPr>
        <w:t>‘investigative secrecy</w:t>
      </w:r>
      <w:r w:rsidR="00AA6593">
        <w:rPr>
          <w:rFonts w:ascii="Times New Roman" w:hAnsi="Times New Roman" w:cs="Times New Roman"/>
          <w:sz w:val="24"/>
          <w:szCs w:val="24"/>
          <w:lang w:val="en-US"/>
        </w:rPr>
        <w:t>.</w:t>
      </w:r>
      <w:r w:rsidR="00AA6593" w:rsidRPr="00541658">
        <w:rPr>
          <w:rFonts w:ascii="Times New Roman" w:hAnsi="Times New Roman" w:cs="Times New Roman"/>
          <w:sz w:val="24"/>
          <w:szCs w:val="24"/>
          <w:lang w:val="en-US"/>
        </w:rPr>
        <w:t>’</w:t>
      </w:r>
      <w:r w:rsidR="001624A7" w:rsidRPr="00541658">
        <w:rPr>
          <w:rFonts w:ascii="Times New Roman" w:hAnsi="Times New Roman" w:cs="Times New Roman"/>
          <w:sz w:val="24"/>
          <w:szCs w:val="24"/>
          <w:lang w:val="en-US"/>
        </w:rPr>
        <w:t xml:space="preserve"> </w:t>
      </w:r>
      <w:r w:rsidR="001D2D36" w:rsidRPr="00541658">
        <w:rPr>
          <w:rFonts w:ascii="Times New Roman" w:hAnsi="Times New Roman" w:cs="Times New Roman"/>
          <w:sz w:val="24"/>
          <w:szCs w:val="24"/>
          <w:lang w:val="en-US"/>
        </w:rPr>
        <w:t xml:space="preserve">The </w:t>
      </w:r>
      <w:r w:rsidR="00F20550" w:rsidRPr="00541658">
        <w:rPr>
          <w:rFonts w:ascii="Times New Roman" w:hAnsi="Times New Roman" w:cs="Times New Roman"/>
          <w:sz w:val="24"/>
          <w:szCs w:val="24"/>
          <w:lang w:val="en-US"/>
        </w:rPr>
        <w:t xml:space="preserve">Court </w:t>
      </w:r>
      <w:r w:rsidR="0036476E" w:rsidRPr="00541658">
        <w:rPr>
          <w:rFonts w:ascii="Times New Roman" w:hAnsi="Times New Roman" w:cs="Times New Roman"/>
          <w:sz w:val="24"/>
          <w:szCs w:val="24"/>
          <w:lang w:val="en-US"/>
        </w:rPr>
        <w:t xml:space="preserve">considered </w:t>
      </w:r>
      <w:r w:rsidRPr="00541658">
        <w:rPr>
          <w:rFonts w:ascii="Times New Roman" w:hAnsi="Times New Roman" w:cs="Times New Roman"/>
          <w:sz w:val="24"/>
          <w:szCs w:val="24"/>
          <w:lang w:val="en-US"/>
        </w:rPr>
        <w:t xml:space="preserve">available information on </w:t>
      </w:r>
      <w:r w:rsidR="0036476E" w:rsidRPr="00541658">
        <w:rPr>
          <w:rFonts w:ascii="Times New Roman" w:hAnsi="Times New Roman" w:cs="Times New Roman"/>
          <w:sz w:val="24"/>
          <w:szCs w:val="24"/>
          <w:lang w:val="en-US"/>
        </w:rPr>
        <w:t xml:space="preserve">the </w:t>
      </w:r>
      <w:r w:rsidR="00F20550" w:rsidRPr="00541658">
        <w:rPr>
          <w:rFonts w:ascii="Times New Roman" w:hAnsi="Times New Roman" w:cs="Times New Roman"/>
          <w:sz w:val="24"/>
          <w:szCs w:val="24"/>
          <w:lang w:val="en-US"/>
        </w:rPr>
        <w:t xml:space="preserve">Lithuanian investigation </w:t>
      </w:r>
      <w:r w:rsidR="001624A7" w:rsidRPr="00541658">
        <w:rPr>
          <w:rFonts w:ascii="Times New Roman" w:hAnsi="Times New Roman" w:cs="Times New Roman"/>
          <w:sz w:val="24"/>
          <w:szCs w:val="24"/>
          <w:lang w:val="en-US"/>
        </w:rPr>
        <w:t xml:space="preserve">in </w:t>
      </w:r>
      <w:r w:rsidR="00AA6593">
        <w:rPr>
          <w:rFonts w:ascii="Times New Roman" w:hAnsi="Times New Roman" w:cs="Times New Roman"/>
          <w:sz w:val="24"/>
          <w:szCs w:val="24"/>
          <w:lang w:val="en-US"/>
        </w:rPr>
        <w:t xml:space="preserve">some </w:t>
      </w:r>
      <w:r w:rsidR="001624A7" w:rsidRPr="00541658">
        <w:rPr>
          <w:rFonts w:ascii="Times New Roman" w:hAnsi="Times New Roman" w:cs="Times New Roman"/>
          <w:sz w:val="24"/>
          <w:szCs w:val="24"/>
          <w:lang w:val="en-US"/>
        </w:rPr>
        <w:t xml:space="preserve">detail </w:t>
      </w:r>
      <w:r w:rsidR="00094681" w:rsidRPr="00541658">
        <w:rPr>
          <w:rFonts w:ascii="Times New Roman" w:hAnsi="Times New Roman" w:cs="Times New Roman"/>
          <w:sz w:val="24"/>
          <w:szCs w:val="24"/>
          <w:lang w:val="en-US"/>
        </w:rPr>
        <w:t xml:space="preserve">and </w:t>
      </w:r>
      <w:r w:rsidR="00AA6593">
        <w:rPr>
          <w:rFonts w:ascii="Times New Roman" w:hAnsi="Times New Roman" w:cs="Times New Roman"/>
          <w:sz w:val="24"/>
          <w:szCs w:val="24"/>
          <w:lang w:val="en-US"/>
        </w:rPr>
        <w:t>rejected these claims, finding a failure</w:t>
      </w:r>
      <w:r w:rsidR="00F20550" w:rsidRPr="00541658">
        <w:rPr>
          <w:rFonts w:ascii="Times New Roman" w:hAnsi="Times New Roman" w:cs="Times New Roman"/>
          <w:sz w:val="24"/>
          <w:szCs w:val="24"/>
          <w:lang w:val="en-US"/>
        </w:rPr>
        <w:t xml:space="preserve"> to meet convention standards of promptness, thoroughness and effectiveness</w:t>
      </w:r>
      <w:r w:rsidR="0036476E" w:rsidRPr="00541658">
        <w:rPr>
          <w:rFonts w:ascii="Times New Roman" w:hAnsi="Times New Roman" w:cs="Times New Roman"/>
          <w:sz w:val="24"/>
          <w:szCs w:val="24"/>
          <w:lang w:val="en-US"/>
        </w:rPr>
        <w:t xml:space="preserve"> (</w:t>
      </w:r>
      <w:r w:rsidR="0070746B" w:rsidRPr="00541658">
        <w:rPr>
          <w:rFonts w:ascii="Times New Roman" w:hAnsi="Times New Roman" w:cs="Times New Roman"/>
          <w:sz w:val="24"/>
          <w:szCs w:val="24"/>
          <w:lang w:val="en-US"/>
        </w:rPr>
        <w:t xml:space="preserve">paras </w:t>
      </w:r>
      <w:r w:rsidR="0036476E" w:rsidRPr="00541658">
        <w:rPr>
          <w:rFonts w:ascii="Times New Roman" w:hAnsi="Times New Roman" w:cs="Times New Roman"/>
          <w:sz w:val="24"/>
          <w:szCs w:val="24"/>
          <w:lang w:val="en-US"/>
        </w:rPr>
        <w:t>607-621)</w:t>
      </w:r>
      <w:r w:rsidR="00F20550" w:rsidRPr="00541658">
        <w:rPr>
          <w:rFonts w:ascii="Times New Roman" w:hAnsi="Times New Roman" w:cs="Times New Roman"/>
          <w:sz w:val="24"/>
          <w:szCs w:val="24"/>
          <w:lang w:val="en-US"/>
        </w:rPr>
        <w:t xml:space="preserve">. </w:t>
      </w:r>
      <w:r w:rsidR="0036476E" w:rsidRPr="00541658">
        <w:rPr>
          <w:rFonts w:ascii="Times New Roman" w:hAnsi="Times New Roman" w:cs="Times New Roman"/>
          <w:sz w:val="24"/>
          <w:szCs w:val="24"/>
          <w:lang w:val="en-US"/>
        </w:rPr>
        <w:t xml:space="preserve">There had </w:t>
      </w:r>
      <w:r w:rsidR="001624A7" w:rsidRPr="00541658">
        <w:rPr>
          <w:rFonts w:ascii="Times New Roman" w:hAnsi="Times New Roman" w:cs="Times New Roman"/>
          <w:sz w:val="24"/>
          <w:szCs w:val="24"/>
          <w:lang w:val="en-US"/>
        </w:rPr>
        <w:t xml:space="preserve">moreover </w:t>
      </w:r>
      <w:r w:rsidR="0036476E" w:rsidRPr="00541658">
        <w:rPr>
          <w:rFonts w:ascii="Times New Roman" w:hAnsi="Times New Roman" w:cs="Times New Roman"/>
          <w:sz w:val="24"/>
          <w:szCs w:val="24"/>
          <w:lang w:val="en-US"/>
        </w:rPr>
        <w:t>been ‘no meaningful progress’ since the re-opening in 2015, and virtually no publicly available information, despite the fact that “</w:t>
      </w:r>
      <w:r w:rsidR="0036476E" w:rsidRPr="00541658">
        <w:rPr>
          <w:rFonts w:ascii="Times New Roman" w:hAnsi="Times New Roman" w:cs="Times New Roman"/>
          <w:i/>
          <w:sz w:val="24"/>
          <w:szCs w:val="24"/>
          <w:lang w:val="en-US"/>
        </w:rPr>
        <w:t>the importance and gravity of the issues require particularly intense public scrutiny</w:t>
      </w:r>
      <w:r w:rsidR="00094681" w:rsidRPr="00541658">
        <w:rPr>
          <w:rFonts w:ascii="Times New Roman" w:hAnsi="Times New Roman" w:cs="Times New Roman"/>
          <w:i/>
          <w:sz w:val="24"/>
          <w:szCs w:val="24"/>
          <w:lang w:val="en-US"/>
        </w:rPr>
        <w:t>”</w:t>
      </w:r>
      <w:r w:rsidR="0036476E" w:rsidRPr="00541658">
        <w:rPr>
          <w:rFonts w:ascii="Times New Roman" w:hAnsi="Times New Roman" w:cs="Times New Roman"/>
          <w:sz w:val="24"/>
          <w:szCs w:val="24"/>
          <w:lang w:val="en-US"/>
        </w:rPr>
        <w:t xml:space="preserve"> (para</w:t>
      </w:r>
      <w:r w:rsidR="0070746B" w:rsidRPr="00541658">
        <w:rPr>
          <w:rFonts w:ascii="Times New Roman" w:hAnsi="Times New Roman" w:cs="Times New Roman"/>
          <w:sz w:val="24"/>
          <w:szCs w:val="24"/>
          <w:lang w:val="en-US"/>
        </w:rPr>
        <w:t>s</w:t>
      </w:r>
      <w:r w:rsidR="0036476E" w:rsidRPr="00541658">
        <w:rPr>
          <w:rFonts w:ascii="Times New Roman" w:hAnsi="Times New Roman" w:cs="Times New Roman"/>
          <w:sz w:val="24"/>
          <w:szCs w:val="24"/>
          <w:lang w:val="en-US"/>
        </w:rPr>
        <w:t xml:space="preserve"> 619, 610). </w:t>
      </w:r>
    </w:p>
    <w:p w14:paraId="39DA82F1" w14:textId="5BD23228" w:rsidR="00345D30" w:rsidRPr="00541658" w:rsidRDefault="001624A7"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The judgment</w:t>
      </w:r>
      <w:r w:rsidR="00AE68B2" w:rsidRPr="00541658">
        <w:rPr>
          <w:rFonts w:ascii="Times New Roman" w:hAnsi="Times New Roman" w:cs="Times New Roman"/>
          <w:sz w:val="24"/>
          <w:szCs w:val="24"/>
          <w:lang w:val="en-US"/>
        </w:rPr>
        <w:t xml:space="preserve"> also</w:t>
      </w:r>
      <w:r w:rsidRPr="00541658">
        <w:rPr>
          <w:rFonts w:ascii="Times New Roman" w:hAnsi="Times New Roman" w:cs="Times New Roman"/>
          <w:sz w:val="24"/>
          <w:szCs w:val="24"/>
          <w:lang w:val="en-US"/>
        </w:rPr>
        <w:t xml:space="preserve"> </w:t>
      </w:r>
      <w:r w:rsidR="00F20550" w:rsidRPr="00541658">
        <w:rPr>
          <w:rFonts w:ascii="Times New Roman" w:hAnsi="Times New Roman" w:cs="Times New Roman"/>
          <w:sz w:val="24"/>
          <w:szCs w:val="24"/>
          <w:lang w:val="en-US"/>
        </w:rPr>
        <w:t>emp</w:t>
      </w:r>
      <w:r w:rsidR="0036476E" w:rsidRPr="00541658">
        <w:rPr>
          <w:rFonts w:ascii="Times New Roman" w:hAnsi="Times New Roman" w:cs="Times New Roman"/>
          <w:sz w:val="24"/>
          <w:szCs w:val="24"/>
          <w:lang w:val="en-US"/>
        </w:rPr>
        <w:t>hasize</w:t>
      </w:r>
      <w:r w:rsidRPr="00541658">
        <w:rPr>
          <w:rFonts w:ascii="Times New Roman" w:hAnsi="Times New Roman" w:cs="Times New Roman"/>
          <w:sz w:val="24"/>
          <w:szCs w:val="24"/>
          <w:lang w:val="en-US"/>
        </w:rPr>
        <w:t>s</w:t>
      </w:r>
      <w:r w:rsidR="0036476E" w:rsidRPr="00541658">
        <w:rPr>
          <w:rFonts w:ascii="Times New Roman" w:hAnsi="Times New Roman" w:cs="Times New Roman"/>
          <w:sz w:val="24"/>
          <w:szCs w:val="24"/>
          <w:lang w:val="en-US"/>
        </w:rPr>
        <w:t xml:space="preserve"> the importance of truth, consolidating th</w:t>
      </w:r>
      <w:r w:rsidRPr="00541658">
        <w:rPr>
          <w:rFonts w:ascii="Times New Roman" w:hAnsi="Times New Roman" w:cs="Times New Roman"/>
          <w:sz w:val="24"/>
          <w:szCs w:val="24"/>
          <w:lang w:val="en-US"/>
        </w:rPr>
        <w:t>is</w:t>
      </w:r>
      <w:r w:rsidR="0036476E" w:rsidRPr="00541658">
        <w:rPr>
          <w:rFonts w:ascii="Times New Roman" w:hAnsi="Times New Roman" w:cs="Times New Roman"/>
          <w:sz w:val="24"/>
          <w:szCs w:val="24"/>
          <w:lang w:val="en-US"/>
        </w:rPr>
        <w:t xml:space="preserve"> emerging right in Strasbourg case law</w:t>
      </w:r>
      <w:r w:rsidR="00345D30" w:rsidRPr="00541658">
        <w:rPr>
          <w:rFonts w:ascii="Times New Roman" w:hAnsi="Times New Roman" w:cs="Times New Roman"/>
          <w:sz w:val="24"/>
          <w:szCs w:val="24"/>
          <w:lang w:val="en-US"/>
        </w:rPr>
        <w:t>:</w:t>
      </w:r>
      <w:r w:rsidR="004C6351" w:rsidRPr="00541658">
        <w:rPr>
          <w:rFonts w:ascii="Times New Roman" w:hAnsi="Times New Roman" w:cs="Times New Roman"/>
          <w:i/>
          <w:sz w:val="24"/>
          <w:szCs w:val="24"/>
          <w:lang w:val="en-US"/>
        </w:rPr>
        <w:t xml:space="preserve"> </w:t>
      </w:r>
      <w:r w:rsidR="00345D30" w:rsidRPr="00541658">
        <w:rPr>
          <w:rFonts w:ascii="Times New Roman" w:hAnsi="Times New Roman" w:cs="Times New Roman"/>
          <w:i/>
          <w:sz w:val="24"/>
          <w:szCs w:val="24"/>
          <w:lang w:val="en-US"/>
        </w:rPr>
        <w:t>“the right to the truth regarding the relevant circumstances of the case does not belong solely to the victim of the crime and his or her family but also to other victims of similar violations and the general public, who have the right to know what has happened. An adequate response by the authorities in investigating allegations of serious human rights violations may generally be regarded as essential in maintaining public confidence in their adherence to the rule of law and in preventing any appearance of impunity, collusion in</w:t>
      </w:r>
      <w:r w:rsidR="0036476E" w:rsidRPr="00541658">
        <w:rPr>
          <w:rFonts w:ascii="Times New Roman" w:hAnsi="Times New Roman" w:cs="Times New Roman"/>
          <w:i/>
          <w:sz w:val="24"/>
          <w:szCs w:val="24"/>
          <w:lang w:val="en-US"/>
        </w:rPr>
        <w:t xml:space="preserve"> or tolerance of unlawful acts</w:t>
      </w:r>
      <w:r w:rsidR="0070746B" w:rsidRPr="00541658">
        <w:rPr>
          <w:rFonts w:ascii="Times New Roman" w:hAnsi="Times New Roman" w:cs="Times New Roman"/>
          <w:i/>
          <w:sz w:val="24"/>
          <w:szCs w:val="24"/>
          <w:lang w:val="en-US"/>
        </w:rPr>
        <w:t xml:space="preserve">” </w:t>
      </w:r>
      <w:r w:rsidR="0036476E" w:rsidRPr="00541658">
        <w:rPr>
          <w:rFonts w:ascii="Times New Roman" w:hAnsi="Times New Roman" w:cs="Times New Roman"/>
          <w:sz w:val="24"/>
          <w:szCs w:val="24"/>
          <w:lang w:val="en-US"/>
        </w:rPr>
        <w:t>(</w:t>
      </w:r>
      <w:r w:rsidR="0070746B" w:rsidRPr="00541658">
        <w:rPr>
          <w:rFonts w:ascii="Times New Roman" w:hAnsi="Times New Roman" w:cs="Times New Roman"/>
          <w:sz w:val="24"/>
          <w:szCs w:val="24"/>
          <w:lang w:val="en-US"/>
        </w:rPr>
        <w:t xml:space="preserve">para </w:t>
      </w:r>
      <w:r w:rsidR="0036476E" w:rsidRPr="00541658">
        <w:rPr>
          <w:rFonts w:ascii="Times New Roman" w:hAnsi="Times New Roman" w:cs="Times New Roman"/>
          <w:sz w:val="24"/>
          <w:szCs w:val="24"/>
          <w:lang w:val="en-US"/>
        </w:rPr>
        <w:t>610).</w:t>
      </w:r>
      <w:r w:rsidR="00345D30" w:rsidRPr="00541658">
        <w:rPr>
          <w:rFonts w:ascii="Times New Roman" w:hAnsi="Times New Roman" w:cs="Times New Roman"/>
          <w:i/>
          <w:sz w:val="24"/>
          <w:szCs w:val="24"/>
          <w:lang w:val="en-US"/>
        </w:rPr>
        <w:t xml:space="preserve"> </w:t>
      </w:r>
    </w:p>
    <w:p w14:paraId="0EDE2687" w14:textId="29DB0EBC" w:rsidR="00345D30" w:rsidRPr="00541658" w:rsidRDefault="0036476E"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Court’s emphasis on individual accountability is </w:t>
      </w:r>
      <w:r w:rsidR="001624A7" w:rsidRPr="00541658">
        <w:rPr>
          <w:rFonts w:ascii="Times New Roman" w:hAnsi="Times New Roman" w:cs="Times New Roman"/>
          <w:sz w:val="24"/>
          <w:szCs w:val="24"/>
          <w:lang w:val="en-US"/>
        </w:rPr>
        <w:t xml:space="preserve">also </w:t>
      </w:r>
      <w:r w:rsidRPr="00541658">
        <w:rPr>
          <w:rFonts w:ascii="Times New Roman" w:hAnsi="Times New Roman" w:cs="Times New Roman"/>
          <w:sz w:val="24"/>
          <w:szCs w:val="24"/>
          <w:lang w:val="en-US"/>
        </w:rPr>
        <w:t>noteworthy in this case, especially in light of widespread continuing impunity for rendition crimes:</w:t>
      </w:r>
      <w:r w:rsidR="00345D30" w:rsidRPr="00541658">
        <w:rPr>
          <w:rFonts w:ascii="Times New Roman" w:hAnsi="Times New Roman" w:cs="Times New Roman"/>
          <w:sz w:val="24"/>
          <w:szCs w:val="24"/>
          <w:lang w:val="en-US"/>
        </w:rPr>
        <w:t xml:space="preserve"> </w:t>
      </w:r>
      <w:r w:rsidR="00345D30" w:rsidRPr="00541658">
        <w:rPr>
          <w:rFonts w:ascii="Times New Roman" w:hAnsi="Times New Roman" w:cs="Times New Roman"/>
          <w:i/>
          <w:sz w:val="24"/>
          <w:szCs w:val="24"/>
          <w:lang w:val="en-US"/>
        </w:rPr>
        <w:t>“the Court would further underline that the securing of proper accountability of those responsible for enabling the CIA to run Detention Site Violet on Lithuanian territory is conducive to maintaining confidence in the adherence of the Lithuanian State’s institutions to the rule of la</w:t>
      </w:r>
      <w:r w:rsidR="0070746B" w:rsidRPr="00541658">
        <w:rPr>
          <w:rFonts w:ascii="Times New Roman" w:hAnsi="Times New Roman" w:cs="Times New Roman"/>
          <w:i/>
          <w:sz w:val="24"/>
          <w:szCs w:val="24"/>
          <w:lang w:val="en-US"/>
        </w:rPr>
        <w:t xml:space="preserve">w” </w:t>
      </w:r>
      <w:r w:rsidR="00345D30" w:rsidRPr="00541658">
        <w:rPr>
          <w:rFonts w:ascii="Times New Roman" w:hAnsi="Times New Roman" w:cs="Times New Roman"/>
          <w:sz w:val="24"/>
          <w:szCs w:val="24"/>
          <w:lang w:val="en-US"/>
        </w:rPr>
        <w:t>(</w:t>
      </w:r>
      <w:r w:rsidR="0070746B" w:rsidRPr="00541658">
        <w:rPr>
          <w:rFonts w:ascii="Times New Roman" w:hAnsi="Times New Roman" w:cs="Times New Roman"/>
          <w:sz w:val="24"/>
          <w:szCs w:val="24"/>
          <w:lang w:val="en-US"/>
        </w:rPr>
        <w:t xml:space="preserve">para </w:t>
      </w:r>
      <w:r w:rsidR="00345D30" w:rsidRPr="00541658">
        <w:rPr>
          <w:rFonts w:ascii="Times New Roman" w:hAnsi="Times New Roman" w:cs="Times New Roman"/>
          <w:sz w:val="24"/>
          <w:szCs w:val="24"/>
          <w:lang w:val="en-US"/>
        </w:rPr>
        <w:t>620)</w:t>
      </w:r>
      <w:r w:rsidR="0070746B" w:rsidRPr="00541658">
        <w:rPr>
          <w:rFonts w:ascii="Times New Roman" w:hAnsi="Times New Roman" w:cs="Times New Roman"/>
          <w:sz w:val="24"/>
          <w:szCs w:val="24"/>
          <w:lang w:val="en-US"/>
        </w:rPr>
        <w:t>.</w:t>
      </w:r>
    </w:p>
    <w:p w14:paraId="7B78CDC0" w14:textId="16CCCC6D" w:rsidR="004404F8" w:rsidRPr="00541658" w:rsidRDefault="004404F8" w:rsidP="00AE68B2">
      <w:pPr>
        <w:spacing w:line="240" w:lineRule="auto"/>
        <w:jc w:val="both"/>
        <w:rPr>
          <w:rFonts w:ascii="Times New Roman" w:hAnsi="Times New Roman" w:cs="Times New Roman"/>
          <w:sz w:val="24"/>
          <w:szCs w:val="24"/>
          <w:u w:val="single"/>
          <w:lang w:val="en-US"/>
        </w:rPr>
      </w:pPr>
      <w:r w:rsidRPr="00541658">
        <w:rPr>
          <w:rFonts w:ascii="Times New Roman" w:hAnsi="Times New Roman" w:cs="Times New Roman"/>
          <w:sz w:val="24"/>
          <w:szCs w:val="24"/>
          <w:u w:val="single"/>
          <w:lang w:val="en-US"/>
        </w:rPr>
        <w:t>Damages/</w:t>
      </w:r>
      <w:r w:rsidR="0070746B" w:rsidRPr="00541658">
        <w:rPr>
          <w:rFonts w:ascii="Times New Roman" w:hAnsi="Times New Roman" w:cs="Times New Roman"/>
          <w:sz w:val="24"/>
          <w:szCs w:val="24"/>
          <w:u w:val="single"/>
          <w:lang w:val="en-US"/>
        </w:rPr>
        <w:t>‘J</w:t>
      </w:r>
      <w:r w:rsidRPr="00541658">
        <w:rPr>
          <w:rFonts w:ascii="Times New Roman" w:hAnsi="Times New Roman" w:cs="Times New Roman"/>
          <w:sz w:val="24"/>
          <w:szCs w:val="24"/>
          <w:u w:val="single"/>
          <w:lang w:val="en-US"/>
        </w:rPr>
        <w:t>ust Satisfaction’</w:t>
      </w:r>
    </w:p>
    <w:p w14:paraId="647A2E3E" w14:textId="13204725" w:rsidR="004404F8" w:rsidRPr="00541658" w:rsidRDefault="00571014"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Finally, the Court’s approach </w:t>
      </w:r>
      <w:r w:rsidR="001624A7" w:rsidRPr="00541658">
        <w:rPr>
          <w:rFonts w:ascii="Times New Roman" w:hAnsi="Times New Roman" w:cs="Times New Roman"/>
          <w:sz w:val="24"/>
          <w:szCs w:val="24"/>
          <w:lang w:val="en-US"/>
        </w:rPr>
        <w:t xml:space="preserve">to </w:t>
      </w:r>
      <w:r w:rsidRPr="00541658">
        <w:rPr>
          <w:rFonts w:ascii="Times New Roman" w:hAnsi="Times New Roman" w:cs="Times New Roman"/>
          <w:sz w:val="24"/>
          <w:szCs w:val="24"/>
          <w:lang w:val="en-US"/>
        </w:rPr>
        <w:t xml:space="preserve">the award of </w:t>
      </w:r>
      <w:r w:rsidR="0070746B" w:rsidRPr="00541658">
        <w:rPr>
          <w:rFonts w:ascii="Times New Roman" w:hAnsi="Times New Roman" w:cs="Times New Roman"/>
          <w:sz w:val="24"/>
          <w:szCs w:val="24"/>
          <w:lang w:val="en-US"/>
        </w:rPr>
        <w:t>‘</w:t>
      </w:r>
      <w:r w:rsidRPr="00541658">
        <w:rPr>
          <w:rFonts w:ascii="Times New Roman" w:hAnsi="Times New Roman" w:cs="Times New Roman"/>
          <w:sz w:val="24"/>
          <w:szCs w:val="24"/>
          <w:lang w:val="en-US"/>
        </w:rPr>
        <w:t>just satisfaction</w:t>
      </w:r>
      <w:r w:rsidR="0070746B"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(damages or reparation) </w:t>
      </w:r>
      <w:r w:rsidR="00991972" w:rsidRPr="00541658">
        <w:rPr>
          <w:rFonts w:ascii="Times New Roman" w:hAnsi="Times New Roman" w:cs="Times New Roman"/>
          <w:sz w:val="24"/>
          <w:szCs w:val="24"/>
          <w:lang w:val="en-US"/>
        </w:rPr>
        <w:t xml:space="preserve">under </w:t>
      </w:r>
      <w:r w:rsidR="000444C3" w:rsidRPr="00541658">
        <w:rPr>
          <w:rFonts w:ascii="Times New Roman" w:hAnsi="Times New Roman" w:cs="Times New Roman"/>
          <w:sz w:val="24"/>
          <w:szCs w:val="24"/>
          <w:lang w:val="en-US"/>
        </w:rPr>
        <w:t xml:space="preserve">article 46 is </w:t>
      </w:r>
      <w:r w:rsidR="001624A7" w:rsidRPr="00541658">
        <w:rPr>
          <w:rFonts w:ascii="Times New Roman" w:hAnsi="Times New Roman" w:cs="Times New Roman"/>
          <w:sz w:val="24"/>
          <w:szCs w:val="24"/>
          <w:lang w:val="en-US"/>
        </w:rPr>
        <w:t xml:space="preserve">somewhat </w:t>
      </w:r>
      <w:r w:rsidR="000444C3" w:rsidRPr="00541658">
        <w:rPr>
          <w:rFonts w:ascii="Times New Roman" w:hAnsi="Times New Roman" w:cs="Times New Roman"/>
          <w:sz w:val="24"/>
          <w:szCs w:val="24"/>
          <w:lang w:val="en-US"/>
        </w:rPr>
        <w:t>unusual</w:t>
      </w:r>
      <w:r w:rsidR="001624A7" w:rsidRPr="00541658">
        <w:rPr>
          <w:rFonts w:ascii="Times New Roman" w:hAnsi="Times New Roman" w:cs="Times New Roman"/>
          <w:sz w:val="24"/>
          <w:szCs w:val="24"/>
          <w:lang w:val="en-US"/>
        </w:rPr>
        <w:t>, responding</w:t>
      </w:r>
      <w:r w:rsidR="00CA4DEF" w:rsidRPr="00541658">
        <w:rPr>
          <w:rFonts w:ascii="Times New Roman" w:hAnsi="Times New Roman" w:cs="Times New Roman"/>
          <w:sz w:val="24"/>
          <w:szCs w:val="24"/>
          <w:lang w:val="en-US"/>
        </w:rPr>
        <w:t xml:space="preserve"> to the applicant’s arguments</w:t>
      </w:r>
      <w:r w:rsidR="001624A7" w:rsidRPr="00541658">
        <w:rPr>
          <w:rFonts w:ascii="Times New Roman" w:hAnsi="Times New Roman" w:cs="Times New Roman"/>
          <w:sz w:val="24"/>
          <w:szCs w:val="24"/>
          <w:lang w:val="en-US"/>
        </w:rPr>
        <w:t xml:space="preserve"> on appropriate reparation in a case of this type</w:t>
      </w:r>
      <w:r w:rsidR="00CA4DEF" w:rsidRPr="00541658">
        <w:rPr>
          <w:rFonts w:ascii="Times New Roman" w:hAnsi="Times New Roman" w:cs="Times New Roman"/>
          <w:sz w:val="24"/>
          <w:szCs w:val="24"/>
          <w:lang w:val="en-US"/>
        </w:rPr>
        <w:t xml:space="preserve">, some </w:t>
      </w:r>
      <w:r w:rsidR="001624A7" w:rsidRPr="00541658">
        <w:rPr>
          <w:rFonts w:ascii="Times New Roman" w:hAnsi="Times New Roman" w:cs="Times New Roman"/>
          <w:sz w:val="24"/>
          <w:szCs w:val="24"/>
          <w:lang w:val="en-US"/>
        </w:rPr>
        <w:t xml:space="preserve">(but not all) </w:t>
      </w:r>
      <w:r w:rsidR="00CA4DEF" w:rsidRPr="00541658">
        <w:rPr>
          <w:rFonts w:ascii="Times New Roman" w:hAnsi="Times New Roman" w:cs="Times New Roman"/>
          <w:sz w:val="24"/>
          <w:szCs w:val="24"/>
          <w:lang w:val="en-US"/>
        </w:rPr>
        <w:t xml:space="preserve">of which it </w:t>
      </w:r>
      <w:proofErr w:type="spellStart"/>
      <w:r w:rsidR="00CA4DEF" w:rsidRPr="00541658">
        <w:rPr>
          <w:rFonts w:ascii="Times New Roman" w:hAnsi="Times New Roman" w:cs="Times New Roman"/>
          <w:sz w:val="24"/>
          <w:szCs w:val="24"/>
          <w:lang w:val="en-US"/>
        </w:rPr>
        <w:t>summarises</w:t>
      </w:r>
      <w:proofErr w:type="spellEnd"/>
      <w:r w:rsidR="001624A7" w:rsidRPr="00541658">
        <w:rPr>
          <w:rFonts w:ascii="Times New Roman" w:hAnsi="Times New Roman" w:cs="Times New Roman"/>
          <w:sz w:val="24"/>
          <w:szCs w:val="24"/>
          <w:lang w:val="en-US"/>
        </w:rPr>
        <w:t xml:space="preserve">. </w:t>
      </w:r>
    </w:p>
    <w:p w14:paraId="3E4CE527" w14:textId="5F5F72BC" w:rsidR="000444C3" w:rsidRPr="00541658" w:rsidRDefault="004404F8" w:rsidP="0099197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lastRenderedPageBreak/>
        <w:t xml:space="preserve">Worthy of note is the </w:t>
      </w:r>
      <w:r w:rsidR="00CA4DEF" w:rsidRPr="00541658">
        <w:rPr>
          <w:rFonts w:ascii="Times New Roman" w:hAnsi="Times New Roman" w:cs="Times New Roman"/>
          <w:sz w:val="24"/>
          <w:szCs w:val="24"/>
          <w:lang w:val="en-US"/>
        </w:rPr>
        <w:t>emphasi</w:t>
      </w:r>
      <w:r w:rsidRPr="00541658">
        <w:rPr>
          <w:rFonts w:ascii="Times New Roman" w:hAnsi="Times New Roman" w:cs="Times New Roman"/>
          <w:sz w:val="24"/>
          <w:szCs w:val="24"/>
          <w:lang w:val="en-US"/>
        </w:rPr>
        <w:t>s on</w:t>
      </w:r>
      <w:r w:rsidR="00CA4DEF" w:rsidRPr="00541658">
        <w:rPr>
          <w:rFonts w:ascii="Times New Roman" w:hAnsi="Times New Roman" w:cs="Times New Roman"/>
          <w:sz w:val="24"/>
          <w:szCs w:val="24"/>
          <w:lang w:val="en-US"/>
        </w:rPr>
        <w:t xml:space="preserve"> the Lithuanian </w:t>
      </w:r>
      <w:r w:rsidR="001624A7" w:rsidRPr="00541658">
        <w:rPr>
          <w:rFonts w:ascii="Times New Roman" w:hAnsi="Times New Roman" w:cs="Times New Roman"/>
          <w:sz w:val="24"/>
          <w:szCs w:val="24"/>
          <w:lang w:val="en-US"/>
        </w:rPr>
        <w:t xml:space="preserve">role in </w:t>
      </w:r>
      <w:r w:rsidR="00CA4DEF" w:rsidRPr="00541658">
        <w:rPr>
          <w:rFonts w:ascii="Times New Roman" w:hAnsi="Times New Roman" w:cs="Times New Roman"/>
          <w:sz w:val="24"/>
          <w:szCs w:val="24"/>
          <w:lang w:val="en-US"/>
        </w:rPr>
        <w:t>contributi</w:t>
      </w:r>
      <w:r w:rsidR="001624A7" w:rsidRPr="00541658">
        <w:rPr>
          <w:rFonts w:ascii="Times New Roman" w:hAnsi="Times New Roman" w:cs="Times New Roman"/>
          <w:sz w:val="24"/>
          <w:szCs w:val="24"/>
          <w:lang w:val="en-US"/>
        </w:rPr>
        <w:t>ng</w:t>
      </w:r>
      <w:r w:rsidR="00CA4DEF" w:rsidRPr="00541658">
        <w:rPr>
          <w:rFonts w:ascii="Times New Roman" w:hAnsi="Times New Roman" w:cs="Times New Roman"/>
          <w:sz w:val="24"/>
          <w:szCs w:val="24"/>
          <w:lang w:val="en-US"/>
        </w:rPr>
        <w:t xml:space="preserve"> to his current situation</w:t>
      </w:r>
      <w:r w:rsidR="001624A7" w:rsidRPr="00541658">
        <w:rPr>
          <w:rFonts w:ascii="Times New Roman" w:hAnsi="Times New Roman" w:cs="Times New Roman"/>
          <w:sz w:val="24"/>
          <w:szCs w:val="24"/>
          <w:lang w:val="en-US"/>
        </w:rPr>
        <w:t xml:space="preserve"> of on-going arbitrary detention</w:t>
      </w:r>
      <w:r w:rsidR="00991972" w:rsidRPr="00541658">
        <w:rPr>
          <w:rFonts w:ascii="Times New Roman" w:hAnsi="Times New Roman" w:cs="Times New Roman"/>
          <w:sz w:val="24"/>
          <w:szCs w:val="24"/>
          <w:lang w:val="en-US"/>
        </w:rPr>
        <w:t>,</w:t>
      </w:r>
      <w:r w:rsidR="001624A7" w:rsidRPr="00541658">
        <w:rPr>
          <w:rFonts w:ascii="Times New Roman" w:hAnsi="Times New Roman" w:cs="Times New Roman"/>
          <w:sz w:val="24"/>
          <w:szCs w:val="24"/>
          <w:lang w:val="en-US"/>
        </w:rPr>
        <w:t xml:space="preserve"> as giving rise to the </w:t>
      </w:r>
      <w:r w:rsidR="00991972" w:rsidRPr="00541658">
        <w:rPr>
          <w:rFonts w:ascii="Times New Roman" w:hAnsi="Times New Roman" w:cs="Times New Roman"/>
          <w:sz w:val="24"/>
          <w:szCs w:val="24"/>
          <w:lang w:val="en-US"/>
        </w:rPr>
        <w:t xml:space="preserve">on-going </w:t>
      </w:r>
      <w:r w:rsidR="001624A7" w:rsidRPr="00541658">
        <w:rPr>
          <w:rFonts w:ascii="Times New Roman" w:hAnsi="Times New Roman" w:cs="Times New Roman"/>
          <w:sz w:val="24"/>
          <w:szCs w:val="24"/>
          <w:lang w:val="en-US"/>
        </w:rPr>
        <w:t>duty</w:t>
      </w:r>
      <w:r w:rsidR="00CA4DEF" w:rsidRPr="00541658">
        <w:rPr>
          <w:rFonts w:ascii="Times New Roman" w:hAnsi="Times New Roman" w:cs="Times New Roman"/>
          <w:sz w:val="24"/>
          <w:szCs w:val="24"/>
          <w:lang w:val="en-US"/>
        </w:rPr>
        <w:t xml:space="preserve"> </w:t>
      </w:r>
      <w:r w:rsidR="001624A7" w:rsidRPr="00541658">
        <w:rPr>
          <w:rFonts w:ascii="Times New Roman" w:hAnsi="Times New Roman" w:cs="Times New Roman"/>
          <w:sz w:val="24"/>
          <w:szCs w:val="24"/>
          <w:lang w:val="en-US"/>
        </w:rPr>
        <w:t xml:space="preserve">to </w:t>
      </w:r>
      <w:r w:rsidR="00CA4DEF" w:rsidRPr="00541658">
        <w:rPr>
          <w:rFonts w:ascii="Times New Roman" w:hAnsi="Times New Roman" w:cs="Times New Roman"/>
          <w:sz w:val="24"/>
          <w:szCs w:val="24"/>
          <w:lang w:val="en-US"/>
        </w:rPr>
        <w:t>take all possible measure to redress that situation</w:t>
      </w:r>
      <w:r w:rsidRPr="00541658">
        <w:rPr>
          <w:rFonts w:ascii="Times New Roman" w:hAnsi="Times New Roman" w:cs="Times New Roman"/>
          <w:sz w:val="24"/>
          <w:szCs w:val="24"/>
          <w:lang w:val="en-US"/>
        </w:rPr>
        <w:t xml:space="preserve"> now</w:t>
      </w:r>
      <w:r w:rsidR="001624A7" w:rsidRPr="00541658">
        <w:rPr>
          <w:rFonts w:ascii="Times New Roman" w:hAnsi="Times New Roman" w:cs="Times New Roman"/>
          <w:sz w:val="24"/>
          <w:szCs w:val="24"/>
          <w:lang w:val="en-US"/>
        </w:rPr>
        <w:t>:</w:t>
      </w:r>
      <w:r w:rsidR="000444C3" w:rsidRPr="00541658">
        <w:rPr>
          <w:rFonts w:ascii="Times New Roman" w:hAnsi="Times New Roman" w:cs="Times New Roman"/>
          <w:sz w:val="24"/>
          <w:szCs w:val="24"/>
          <w:lang w:val="en-US"/>
        </w:rPr>
        <w:t xml:space="preserve"> “</w:t>
      </w:r>
      <w:r w:rsidR="000444C3" w:rsidRPr="00541658">
        <w:rPr>
          <w:rFonts w:ascii="Times New Roman" w:hAnsi="Times New Roman" w:cs="Times New Roman"/>
          <w:i/>
          <w:iCs/>
          <w:sz w:val="24"/>
          <w:szCs w:val="24"/>
          <w:lang w:val="en-US"/>
        </w:rPr>
        <w:t xml:space="preserve">by enabling the transfer of the applicant to another CIA detention site, the Lithuanian authorities exposed him to a foreseeable risk of continued secret, incommunicado and otherwise arbitrary detention, liable, in his case, to continue for the rest of his life, in breach of Article 5 </w:t>
      </w:r>
      <w:r w:rsidR="00AA6593">
        <w:rPr>
          <w:rFonts w:ascii="Times New Roman" w:hAnsi="Times New Roman" w:cs="Times New Roman"/>
          <w:i/>
          <w:iCs/>
          <w:sz w:val="24"/>
          <w:szCs w:val="24"/>
          <w:lang w:val="en-US"/>
        </w:rPr>
        <w:t>[</w:t>
      </w:r>
      <w:r w:rsidRPr="00541658">
        <w:rPr>
          <w:rFonts w:ascii="Times New Roman" w:hAnsi="Times New Roman" w:cs="Times New Roman"/>
          <w:i/>
          <w:iCs/>
          <w:sz w:val="24"/>
          <w:szCs w:val="24"/>
          <w:lang w:val="en-US"/>
        </w:rPr>
        <w:t>…</w:t>
      </w:r>
      <w:r w:rsidR="00AA6593">
        <w:rPr>
          <w:rFonts w:ascii="Times New Roman" w:hAnsi="Times New Roman" w:cs="Times New Roman"/>
          <w:i/>
          <w:iCs/>
          <w:sz w:val="24"/>
          <w:szCs w:val="24"/>
          <w:lang w:val="en-US"/>
        </w:rPr>
        <w:t>]</w:t>
      </w:r>
      <w:r w:rsidR="000444C3" w:rsidRPr="00541658">
        <w:rPr>
          <w:rFonts w:ascii="Times New Roman" w:hAnsi="Times New Roman" w:cs="Times New Roman"/>
          <w:i/>
          <w:iCs/>
          <w:sz w:val="24"/>
          <w:szCs w:val="24"/>
          <w:lang w:val="en-US"/>
        </w:rPr>
        <w:t xml:space="preserve"> as well as to further ill-treatment and conditions of detention, in breach of Article 3</w:t>
      </w:r>
      <w:r w:rsidR="00991972" w:rsidRPr="00541658">
        <w:rPr>
          <w:rFonts w:ascii="Times New Roman" w:hAnsi="Times New Roman" w:cs="Times New Roman"/>
          <w:i/>
          <w:iCs/>
          <w:sz w:val="24"/>
          <w:szCs w:val="24"/>
          <w:lang w:val="en-US"/>
        </w:rPr>
        <w:t xml:space="preserve"> </w:t>
      </w:r>
      <w:r w:rsidR="00AA6593">
        <w:rPr>
          <w:rFonts w:ascii="Times New Roman" w:hAnsi="Times New Roman" w:cs="Times New Roman"/>
          <w:i/>
          <w:iCs/>
          <w:sz w:val="24"/>
          <w:szCs w:val="24"/>
          <w:lang w:val="en-US"/>
        </w:rPr>
        <w:t>[</w:t>
      </w:r>
      <w:r w:rsidR="00991972" w:rsidRPr="00541658">
        <w:rPr>
          <w:rFonts w:ascii="Times New Roman" w:hAnsi="Times New Roman" w:cs="Times New Roman"/>
          <w:i/>
          <w:iCs/>
          <w:sz w:val="24"/>
          <w:szCs w:val="24"/>
          <w:lang w:val="en-US"/>
        </w:rPr>
        <w:t>…</w:t>
      </w:r>
      <w:r w:rsidR="00AA6593">
        <w:rPr>
          <w:rFonts w:ascii="Times New Roman" w:hAnsi="Times New Roman" w:cs="Times New Roman"/>
          <w:i/>
          <w:iCs/>
          <w:sz w:val="24"/>
          <w:szCs w:val="24"/>
          <w:lang w:val="en-US"/>
        </w:rPr>
        <w:t>]</w:t>
      </w:r>
      <w:r w:rsidR="003D568C" w:rsidRPr="00541658">
        <w:rPr>
          <w:rFonts w:ascii="Times New Roman" w:hAnsi="Times New Roman" w:cs="Times New Roman"/>
          <w:i/>
          <w:iCs/>
          <w:sz w:val="24"/>
          <w:szCs w:val="24"/>
          <w:lang w:val="en-US"/>
        </w:rPr>
        <w:t>in the opinion of the Court, the treaty obligation of Lithuania under Article 46 of the Convention to take the necessary individual measures to redress as far as possible the violation found by the Court, require that the Lithuanian authorities attempt to make further representations to the US authorities with a view to removing or, at the very least seeking to limit, as far as possible, the effects of the Convention violations suffered by the applicant</w:t>
      </w:r>
      <w:r w:rsidR="00094681" w:rsidRPr="00541658">
        <w:rPr>
          <w:rFonts w:ascii="Times New Roman" w:hAnsi="Times New Roman" w:cs="Times New Roman"/>
          <w:i/>
          <w:iCs/>
          <w:sz w:val="24"/>
          <w:szCs w:val="24"/>
          <w:lang w:val="en-US"/>
        </w:rPr>
        <w:t>”</w:t>
      </w:r>
      <w:r w:rsidR="003D568C" w:rsidRPr="00541658">
        <w:rPr>
          <w:rFonts w:ascii="Times New Roman" w:hAnsi="Times New Roman" w:cs="Times New Roman"/>
          <w:i/>
          <w:iCs/>
          <w:sz w:val="24"/>
          <w:szCs w:val="24"/>
          <w:lang w:val="en-US"/>
        </w:rPr>
        <w:t xml:space="preserve"> (</w:t>
      </w:r>
      <w:r w:rsidR="003D568C" w:rsidRPr="00541658">
        <w:rPr>
          <w:rFonts w:ascii="Times New Roman" w:hAnsi="Times New Roman" w:cs="Times New Roman"/>
          <w:iCs/>
          <w:sz w:val="24"/>
          <w:szCs w:val="24"/>
          <w:lang w:val="en-US"/>
        </w:rPr>
        <w:t xml:space="preserve">para </w:t>
      </w:r>
      <w:r w:rsidR="003D568C" w:rsidRPr="00541658">
        <w:rPr>
          <w:rFonts w:ascii="Times New Roman" w:hAnsi="Times New Roman" w:cs="Times New Roman"/>
          <w:i/>
          <w:iCs/>
          <w:sz w:val="24"/>
          <w:szCs w:val="24"/>
          <w:lang w:val="en-US"/>
        </w:rPr>
        <w:t>292)</w:t>
      </w:r>
      <w:r w:rsidR="003D568C" w:rsidRPr="00541658">
        <w:rPr>
          <w:rFonts w:ascii="Times New Roman" w:hAnsi="Times New Roman" w:cs="Times New Roman"/>
          <w:sz w:val="24"/>
          <w:szCs w:val="24"/>
          <w:lang w:val="en-US"/>
        </w:rPr>
        <w:t>.</w:t>
      </w:r>
    </w:p>
    <w:p w14:paraId="26FFE0D6" w14:textId="77777777" w:rsidR="00CA4DEF" w:rsidRPr="00541658" w:rsidRDefault="004404F8"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With regard to the need to conduct a </w:t>
      </w:r>
      <w:r w:rsidR="00CA4DEF" w:rsidRPr="00541658">
        <w:rPr>
          <w:rFonts w:ascii="Times New Roman" w:hAnsi="Times New Roman" w:cs="Times New Roman"/>
          <w:sz w:val="24"/>
          <w:szCs w:val="24"/>
          <w:lang w:val="en-US"/>
        </w:rPr>
        <w:t>criminal investigation</w:t>
      </w:r>
      <w:r w:rsidRPr="00541658">
        <w:rPr>
          <w:rFonts w:ascii="Times New Roman" w:hAnsi="Times New Roman" w:cs="Times New Roman"/>
          <w:sz w:val="24"/>
          <w:szCs w:val="24"/>
          <w:lang w:val="en-US"/>
        </w:rPr>
        <w:t>, it noted that</w:t>
      </w:r>
      <w:r w:rsidR="00CA4DEF" w:rsidRPr="00541658">
        <w:rPr>
          <w:rFonts w:ascii="Times New Roman" w:hAnsi="Times New Roman" w:cs="Times New Roman"/>
          <w:sz w:val="24"/>
          <w:szCs w:val="24"/>
          <w:lang w:val="en-US"/>
        </w:rPr>
        <w:t xml:space="preserve"> </w:t>
      </w:r>
      <w:r w:rsidRPr="00541658">
        <w:rPr>
          <w:rFonts w:ascii="Times New Roman" w:hAnsi="Times New Roman" w:cs="Times New Roman"/>
          <w:sz w:val="24"/>
          <w:szCs w:val="24"/>
          <w:lang w:val="en-US"/>
        </w:rPr>
        <w:t xml:space="preserve">such an investigation is in the Court’s view </w:t>
      </w:r>
      <w:r w:rsidR="00CA4DEF" w:rsidRPr="00541658">
        <w:rPr>
          <w:rFonts w:ascii="Times New Roman" w:hAnsi="Times New Roman" w:cs="Times New Roman"/>
          <w:sz w:val="24"/>
          <w:szCs w:val="24"/>
          <w:lang w:val="en-US"/>
        </w:rPr>
        <w:t>feasible</w:t>
      </w:r>
      <w:r w:rsidRPr="00541658">
        <w:rPr>
          <w:rFonts w:ascii="Times New Roman" w:hAnsi="Times New Roman" w:cs="Times New Roman"/>
          <w:sz w:val="24"/>
          <w:szCs w:val="24"/>
          <w:lang w:val="en-US"/>
        </w:rPr>
        <w:t xml:space="preserve"> and</w:t>
      </w:r>
      <w:r w:rsidR="00CA4DEF" w:rsidRPr="00541658">
        <w:rPr>
          <w:rFonts w:ascii="Times New Roman" w:hAnsi="Times New Roman" w:cs="Times New Roman"/>
          <w:sz w:val="24"/>
          <w:szCs w:val="24"/>
          <w:lang w:val="en-US"/>
        </w:rPr>
        <w:t xml:space="preserve"> that there were ‘no insurmountable practical obstacles’</w:t>
      </w:r>
      <w:r w:rsidRPr="00541658">
        <w:rPr>
          <w:rFonts w:ascii="Times New Roman" w:hAnsi="Times New Roman" w:cs="Times New Roman"/>
          <w:sz w:val="24"/>
          <w:szCs w:val="24"/>
          <w:lang w:val="en-US"/>
        </w:rPr>
        <w:t>. It found that</w:t>
      </w:r>
      <w:r w:rsidR="00CA4DEF" w:rsidRPr="00541658">
        <w:rPr>
          <w:rFonts w:ascii="Times New Roman" w:hAnsi="Times New Roman" w:cs="Times New Roman"/>
          <w:sz w:val="24"/>
          <w:szCs w:val="24"/>
          <w:lang w:val="en-US"/>
        </w:rPr>
        <w:t xml:space="preserve"> “</w:t>
      </w:r>
      <w:r w:rsidRPr="00541658">
        <w:rPr>
          <w:rFonts w:ascii="Times New Roman" w:hAnsi="Times New Roman" w:cs="Times New Roman"/>
          <w:i/>
          <w:iCs/>
          <w:sz w:val="24"/>
          <w:szCs w:val="24"/>
          <w:lang w:val="en-US"/>
        </w:rPr>
        <w:t>a</w:t>
      </w:r>
      <w:r w:rsidR="00CA4DEF" w:rsidRPr="00541658">
        <w:rPr>
          <w:rFonts w:ascii="Times New Roman" w:hAnsi="Times New Roman" w:cs="Times New Roman"/>
          <w:i/>
          <w:iCs/>
          <w:sz w:val="24"/>
          <w:szCs w:val="24"/>
          <w:lang w:val="en-US"/>
        </w:rPr>
        <w:t>n ongoing failure to provide the requisite investigation will be regarded as a continuing violation”</w:t>
      </w:r>
      <w:r w:rsidR="00CA4DEF" w:rsidRPr="00541658">
        <w:rPr>
          <w:rFonts w:ascii="Times New Roman" w:hAnsi="Times New Roman" w:cs="Times New Roman"/>
          <w:iCs/>
          <w:sz w:val="24"/>
          <w:szCs w:val="24"/>
          <w:lang w:val="en-US"/>
        </w:rPr>
        <w:t>(</w:t>
      </w:r>
      <w:r w:rsidR="0070746B" w:rsidRPr="00541658">
        <w:rPr>
          <w:rFonts w:ascii="Times New Roman" w:hAnsi="Times New Roman" w:cs="Times New Roman"/>
          <w:iCs/>
          <w:sz w:val="24"/>
          <w:szCs w:val="24"/>
          <w:lang w:val="en-US"/>
        </w:rPr>
        <w:t>para</w:t>
      </w:r>
      <w:r w:rsidR="0070746B" w:rsidRPr="00541658">
        <w:rPr>
          <w:rFonts w:ascii="Times New Roman" w:hAnsi="Times New Roman" w:cs="Times New Roman"/>
          <w:i/>
          <w:iCs/>
          <w:sz w:val="24"/>
          <w:szCs w:val="24"/>
          <w:lang w:val="en-US"/>
        </w:rPr>
        <w:t xml:space="preserve"> </w:t>
      </w:r>
      <w:r w:rsidR="00CA4DEF" w:rsidRPr="00541658">
        <w:rPr>
          <w:rFonts w:ascii="Times New Roman" w:hAnsi="Times New Roman" w:cs="Times New Roman"/>
          <w:iCs/>
          <w:sz w:val="24"/>
          <w:szCs w:val="24"/>
          <w:lang w:val="en-US"/>
        </w:rPr>
        <w:t>682</w:t>
      </w:r>
      <w:r w:rsidR="00CA4DEF" w:rsidRPr="00541658">
        <w:rPr>
          <w:rFonts w:ascii="Times New Roman" w:hAnsi="Times New Roman" w:cs="Times New Roman"/>
          <w:i/>
          <w:iCs/>
          <w:sz w:val="24"/>
          <w:szCs w:val="24"/>
          <w:lang w:val="en-US"/>
        </w:rPr>
        <w:t>).</w:t>
      </w:r>
      <w:r w:rsidR="00CA4DEF" w:rsidRPr="00541658">
        <w:rPr>
          <w:rFonts w:ascii="Times New Roman" w:hAnsi="Times New Roman" w:cs="Times New Roman"/>
          <w:sz w:val="24"/>
          <w:szCs w:val="24"/>
          <w:lang w:val="en-US"/>
        </w:rPr>
        <w:t xml:space="preserve"> </w:t>
      </w:r>
    </w:p>
    <w:p w14:paraId="41613926" w14:textId="7B5241A1" w:rsidR="00345D30" w:rsidRPr="00541658" w:rsidRDefault="00CE4D38" w:rsidP="00AE68B2">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In light of </w:t>
      </w:r>
      <w:r w:rsidR="00345D30" w:rsidRPr="00541658">
        <w:rPr>
          <w:rFonts w:ascii="Times New Roman" w:hAnsi="Times New Roman" w:cs="Times New Roman"/>
          <w:sz w:val="24"/>
          <w:szCs w:val="24"/>
          <w:lang w:val="en-US"/>
        </w:rPr>
        <w:t>the ‘extreme seriousness’ of the violations involved in this case</w:t>
      </w:r>
      <w:r w:rsidRPr="00541658">
        <w:rPr>
          <w:rFonts w:ascii="Times New Roman" w:hAnsi="Times New Roman" w:cs="Times New Roman"/>
          <w:sz w:val="24"/>
          <w:szCs w:val="24"/>
          <w:lang w:val="en-US"/>
        </w:rPr>
        <w:t>, it</w:t>
      </w:r>
      <w:r w:rsidR="00345D30" w:rsidRPr="00541658">
        <w:rPr>
          <w:rFonts w:ascii="Times New Roman" w:hAnsi="Times New Roman" w:cs="Times New Roman"/>
          <w:sz w:val="24"/>
          <w:szCs w:val="24"/>
          <w:lang w:val="en-US"/>
        </w:rPr>
        <w:t xml:space="preserve"> award</w:t>
      </w:r>
      <w:r w:rsidRPr="00541658">
        <w:rPr>
          <w:rFonts w:ascii="Times New Roman" w:hAnsi="Times New Roman" w:cs="Times New Roman"/>
          <w:sz w:val="24"/>
          <w:szCs w:val="24"/>
          <w:lang w:val="en-US"/>
        </w:rPr>
        <w:t>ed</w:t>
      </w:r>
      <w:r w:rsidR="00345D30" w:rsidRPr="00541658">
        <w:rPr>
          <w:rFonts w:ascii="Times New Roman" w:hAnsi="Times New Roman" w:cs="Times New Roman"/>
          <w:sz w:val="24"/>
          <w:szCs w:val="24"/>
          <w:lang w:val="en-US"/>
        </w:rPr>
        <w:t xml:space="preserve"> </w:t>
      </w:r>
      <w:r w:rsidR="00AE68B2" w:rsidRPr="00541658">
        <w:rPr>
          <w:rFonts w:ascii="Times New Roman" w:hAnsi="Times New Roman" w:cs="Times New Roman"/>
          <w:sz w:val="24"/>
          <w:szCs w:val="24"/>
          <w:lang w:val="en-US"/>
        </w:rPr>
        <w:t xml:space="preserve">Abu Zubaydah </w:t>
      </w:r>
      <w:r w:rsidR="00345D30" w:rsidRPr="00541658">
        <w:rPr>
          <w:rFonts w:ascii="Times New Roman" w:hAnsi="Times New Roman" w:cs="Times New Roman"/>
          <w:sz w:val="24"/>
          <w:szCs w:val="24"/>
          <w:lang w:val="en-US"/>
        </w:rPr>
        <w:t xml:space="preserve">100,000 euros in </w:t>
      </w:r>
      <w:r w:rsidR="0070746B" w:rsidRPr="00541658">
        <w:rPr>
          <w:rFonts w:ascii="Times New Roman" w:hAnsi="Times New Roman" w:cs="Times New Roman"/>
          <w:sz w:val="24"/>
          <w:szCs w:val="24"/>
          <w:lang w:val="en-US"/>
        </w:rPr>
        <w:t>compensation, which</w:t>
      </w:r>
      <w:r w:rsidRPr="00541658">
        <w:rPr>
          <w:rFonts w:ascii="Times New Roman" w:hAnsi="Times New Roman" w:cs="Times New Roman"/>
          <w:sz w:val="24"/>
          <w:szCs w:val="24"/>
          <w:lang w:val="en-US"/>
        </w:rPr>
        <w:t xml:space="preserve"> the state is now obliged to pay</w:t>
      </w:r>
      <w:r w:rsidR="00345D30" w:rsidRPr="00541658">
        <w:rPr>
          <w:rFonts w:ascii="Times New Roman" w:hAnsi="Times New Roman" w:cs="Times New Roman"/>
          <w:sz w:val="24"/>
          <w:szCs w:val="24"/>
          <w:lang w:val="en-US"/>
        </w:rPr>
        <w:t>.</w:t>
      </w:r>
    </w:p>
    <w:p w14:paraId="49DA449D" w14:textId="3053B840" w:rsidR="00CE4D38" w:rsidRPr="00541658" w:rsidRDefault="00CE4D38" w:rsidP="00AE68B2">
      <w:pPr>
        <w:spacing w:line="240" w:lineRule="auto"/>
        <w:jc w:val="both"/>
        <w:rPr>
          <w:rFonts w:ascii="Times New Roman" w:hAnsi="Times New Roman" w:cs="Times New Roman"/>
          <w:sz w:val="24"/>
          <w:szCs w:val="24"/>
          <w:u w:val="single"/>
          <w:lang w:val="en-US"/>
        </w:rPr>
      </w:pPr>
      <w:r w:rsidRPr="00541658">
        <w:rPr>
          <w:rFonts w:ascii="Times New Roman" w:hAnsi="Times New Roman" w:cs="Times New Roman"/>
          <w:sz w:val="24"/>
          <w:szCs w:val="24"/>
          <w:u w:val="single"/>
          <w:lang w:val="en-US"/>
        </w:rPr>
        <w:t xml:space="preserve">Brief </w:t>
      </w:r>
      <w:r w:rsidR="00094681" w:rsidRPr="00541658">
        <w:rPr>
          <w:rFonts w:ascii="Times New Roman" w:hAnsi="Times New Roman" w:cs="Times New Roman"/>
          <w:sz w:val="24"/>
          <w:szCs w:val="24"/>
          <w:u w:val="single"/>
          <w:lang w:val="en-US"/>
        </w:rPr>
        <w:t>N</w:t>
      </w:r>
      <w:r w:rsidRPr="00541658">
        <w:rPr>
          <w:rFonts w:ascii="Times New Roman" w:hAnsi="Times New Roman" w:cs="Times New Roman"/>
          <w:sz w:val="24"/>
          <w:szCs w:val="24"/>
          <w:u w:val="single"/>
          <w:lang w:val="en-US"/>
        </w:rPr>
        <w:t xml:space="preserve">ote on the Applicant’s </w:t>
      </w:r>
      <w:r w:rsidR="00094681" w:rsidRPr="00541658">
        <w:rPr>
          <w:rFonts w:ascii="Times New Roman" w:hAnsi="Times New Roman" w:cs="Times New Roman"/>
          <w:sz w:val="24"/>
          <w:szCs w:val="24"/>
          <w:u w:val="single"/>
          <w:lang w:val="en-US"/>
        </w:rPr>
        <w:t>S</w:t>
      </w:r>
      <w:r w:rsidRPr="00541658">
        <w:rPr>
          <w:rFonts w:ascii="Times New Roman" w:hAnsi="Times New Roman" w:cs="Times New Roman"/>
          <w:sz w:val="24"/>
          <w:szCs w:val="24"/>
          <w:u w:val="single"/>
          <w:lang w:val="en-US"/>
        </w:rPr>
        <w:t>ituation</w:t>
      </w:r>
    </w:p>
    <w:p w14:paraId="558724C2" w14:textId="6BC18CE8" w:rsidR="00BB680D" w:rsidRPr="00541658" w:rsidRDefault="00C867DF" w:rsidP="00FE5F55">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importance of this judgment can be seen on numerous levels, </w:t>
      </w:r>
      <w:r w:rsidR="00E56348" w:rsidRPr="00541658">
        <w:rPr>
          <w:rFonts w:ascii="Times New Roman" w:hAnsi="Times New Roman" w:cs="Times New Roman"/>
          <w:sz w:val="24"/>
          <w:szCs w:val="24"/>
          <w:lang w:val="en-US"/>
        </w:rPr>
        <w:t>as the highlights</w:t>
      </w:r>
      <w:r w:rsidR="00827588">
        <w:rPr>
          <w:rFonts w:ascii="Times New Roman" w:hAnsi="Times New Roman" w:cs="Times New Roman"/>
          <w:sz w:val="24"/>
          <w:szCs w:val="24"/>
          <w:lang w:val="en-US"/>
        </w:rPr>
        <w:t xml:space="preserve"> above</w:t>
      </w:r>
      <w:r w:rsidR="00E56348" w:rsidRPr="00541658">
        <w:rPr>
          <w:rFonts w:ascii="Times New Roman" w:hAnsi="Times New Roman" w:cs="Times New Roman"/>
          <w:sz w:val="24"/>
          <w:szCs w:val="24"/>
          <w:lang w:val="en-US"/>
        </w:rPr>
        <w:t xml:space="preserve"> </w:t>
      </w:r>
      <w:r w:rsidR="00066392">
        <w:rPr>
          <w:rFonts w:ascii="Times New Roman" w:hAnsi="Times New Roman" w:cs="Times New Roman"/>
          <w:sz w:val="24"/>
          <w:szCs w:val="24"/>
          <w:lang w:val="en-US"/>
        </w:rPr>
        <w:t xml:space="preserve">may </w:t>
      </w:r>
      <w:r w:rsidR="00E56348" w:rsidRPr="00541658">
        <w:rPr>
          <w:rFonts w:ascii="Times New Roman" w:hAnsi="Times New Roman" w:cs="Times New Roman"/>
          <w:sz w:val="24"/>
          <w:szCs w:val="24"/>
          <w:lang w:val="en-US"/>
        </w:rPr>
        <w:t>suggest</w:t>
      </w:r>
      <w:r w:rsidR="00272E8D" w:rsidRPr="00541658">
        <w:rPr>
          <w:rFonts w:ascii="Times New Roman" w:hAnsi="Times New Roman" w:cs="Times New Roman"/>
          <w:sz w:val="24"/>
          <w:szCs w:val="24"/>
          <w:lang w:val="en-US"/>
        </w:rPr>
        <w:t xml:space="preserve">. These </w:t>
      </w:r>
      <w:r w:rsidR="0070746B" w:rsidRPr="00541658">
        <w:rPr>
          <w:rFonts w:ascii="Times New Roman" w:hAnsi="Times New Roman" w:cs="Times New Roman"/>
          <w:sz w:val="24"/>
          <w:szCs w:val="24"/>
          <w:lang w:val="en-US"/>
        </w:rPr>
        <w:t>i</w:t>
      </w:r>
      <w:r w:rsidR="00272E8D" w:rsidRPr="00541658">
        <w:rPr>
          <w:rFonts w:ascii="Times New Roman" w:hAnsi="Times New Roman" w:cs="Times New Roman"/>
          <w:sz w:val="24"/>
          <w:szCs w:val="24"/>
          <w:lang w:val="en-US"/>
        </w:rPr>
        <w:t xml:space="preserve">nclude </w:t>
      </w:r>
      <w:r w:rsidR="00BB680D" w:rsidRPr="00541658">
        <w:rPr>
          <w:rFonts w:ascii="Times New Roman" w:hAnsi="Times New Roman" w:cs="Times New Roman"/>
          <w:sz w:val="24"/>
          <w:szCs w:val="24"/>
          <w:lang w:val="en-US"/>
        </w:rPr>
        <w:t xml:space="preserve">clarification of </w:t>
      </w:r>
      <w:r w:rsidR="00E56348" w:rsidRPr="00541658">
        <w:rPr>
          <w:rFonts w:ascii="Times New Roman" w:hAnsi="Times New Roman" w:cs="Times New Roman"/>
          <w:sz w:val="24"/>
          <w:szCs w:val="24"/>
          <w:lang w:val="en-US"/>
        </w:rPr>
        <w:t xml:space="preserve">obligations for the future, </w:t>
      </w:r>
      <w:r w:rsidR="002F7B4D" w:rsidRPr="00541658">
        <w:rPr>
          <w:rFonts w:ascii="Times New Roman" w:hAnsi="Times New Roman" w:cs="Times New Roman"/>
          <w:sz w:val="24"/>
          <w:szCs w:val="24"/>
          <w:lang w:val="en-US"/>
        </w:rPr>
        <w:t>demonstrating</w:t>
      </w:r>
      <w:r w:rsidR="0083198A" w:rsidRPr="00541658">
        <w:rPr>
          <w:rFonts w:ascii="Times New Roman" w:hAnsi="Times New Roman" w:cs="Times New Roman"/>
          <w:sz w:val="24"/>
          <w:szCs w:val="24"/>
          <w:lang w:val="en-US"/>
        </w:rPr>
        <w:t xml:space="preserve"> </w:t>
      </w:r>
      <w:r w:rsidR="00E56348" w:rsidRPr="00541658">
        <w:rPr>
          <w:rFonts w:ascii="Times New Roman" w:hAnsi="Times New Roman" w:cs="Times New Roman"/>
          <w:sz w:val="24"/>
          <w:szCs w:val="24"/>
          <w:lang w:val="en-US"/>
        </w:rPr>
        <w:t xml:space="preserve">that </w:t>
      </w:r>
      <w:r w:rsidR="002F7B4D" w:rsidRPr="00541658">
        <w:rPr>
          <w:rFonts w:ascii="Times New Roman" w:hAnsi="Times New Roman" w:cs="Times New Roman"/>
          <w:sz w:val="24"/>
          <w:szCs w:val="24"/>
          <w:lang w:val="en-US"/>
        </w:rPr>
        <w:t>even in the opaque world of counter-terrorism, state secrecy and inter-state intelligence cooperation</w:t>
      </w:r>
      <w:r w:rsidR="003B0340" w:rsidRPr="00541658">
        <w:rPr>
          <w:rFonts w:ascii="Times New Roman" w:hAnsi="Times New Roman" w:cs="Times New Roman"/>
          <w:sz w:val="24"/>
          <w:szCs w:val="24"/>
          <w:lang w:val="en-US"/>
        </w:rPr>
        <w:t>,</w:t>
      </w:r>
      <w:r w:rsidR="002F7B4D" w:rsidRPr="00541658">
        <w:rPr>
          <w:rFonts w:ascii="Times New Roman" w:hAnsi="Times New Roman" w:cs="Times New Roman"/>
          <w:sz w:val="24"/>
          <w:szCs w:val="24"/>
          <w:lang w:val="en-US"/>
        </w:rPr>
        <w:t xml:space="preserve"> there is</w:t>
      </w:r>
      <w:r w:rsidR="00272E8D" w:rsidRPr="00541658">
        <w:rPr>
          <w:rFonts w:ascii="Times New Roman" w:hAnsi="Times New Roman" w:cs="Times New Roman"/>
          <w:sz w:val="24"/>
          <w:szCs w:val="24"/>
          <w:lang w:val="en-US"/>
        </w:rPr>
        <w:t xml:space="preserve"> a measure of </w:t>
      </w:r>
      <w:r w:rsidR="00E56348" w:rsidRPr="00541658">
        <w:rPr>
          <w:rFonts w:ascii="Times New Roman" w:hAnsi="Times New Roman" w:cs="Times New Roman"/>
          <w:sz w:val="24"/>
          <w:szCs w:val="24"/>
          <w:lang w:val="en-US"/>
        </w:rPr>
        <w:t>oversight</w:t>
      </w:r>
      <w:r w:rsidR="00272E8D" w:rsidRPr="00541658">
        <w:rPr>
          <w:rFonts w:ascii="Times New Roman" w:hAnsi="Times New Roman" w:cs="Times New Roman"/>
          <w:sz w:val="24"/>
          <w:szCs w:val="24"/>
          <w:lang w:val="en-US"/>
        </w:rPr>
        <w:t xml:space="preserve"> and accountability</w:t>
      </w:r>
      <w:r w:rsidR="00E56348" w:rsidRPr="00541658">
        <w:rPr>
          <w:rFonts w:ascii="Times New Roman" w:hAnsi="Times New Roman" w:cs="Times New Roman"/>
          <w:sz w:val="24"/>
          <w:szCs w:val="24"/>
          <w:lang w:val="en-US"/>
        </w:rPr>
        <w:t xml:space="preserve">. </w:t>
      </w:r>
      <w:r w:rsidR="002F7B4D" w:rsidRPr="00541658">
        <w:rPr>
          <w:rFonts w:ascii="Times New Roman" w:hAnsi="Times New Roman" w:cs="Times New Roman"/>
          <w:sz w:val="24"/>
          <w:szCs w:val="24"/>
          <w:lang w:val="en-US"/>
        </w:rPr>
        <w:t>The</w:t>
      </w:r>
      <w:r w:rsidR="00E56348" w:rsidRPr="00541658">
        <w:rPr>
          <w:rFonts w:ascii="Times New Roman" w:hAnsi="Times New Roman" w:cs="Times New Roman"/>
          <w:sz w:val="24"/>
          <w:szCs w:val="24"/>
          <w:lang w:val="en-US"/>
        </w:rPr>
        <w:t xml:space="preserve"> </w:t>
      </w:r>
      <w:r w:rsidR="0083198A" w:rsidRPr="00541658">
        <w:rPr>
          <w:rFonts w:ascii="Times New Roman" w:hAnsi="Times New Roman" w:cs="Times New Roman"/>
          <w:sz w:val="24"/>
          <w:szCs w:val="24"/>
          <w:lang w:val="en-US"/>
        </w:rPr>
        <w:t xml:space="preserve">important </w:t>
      </w:r>
      <w:r w:rsidRPr="00541658">
        <w:rPr>
          <w:rFonts w:ascii="Times New Roman" w:hAnsi="Times New Roman" w:cs="Times New Roman"/>
          <w:sz w:val="24"/>
          <w:szCs w:val="24"/>
          <w:lang w:val="en-US"/>
        </w:rPr>
        <w:t xml:space="preserve">contribution to historical narrative around roles and responsibility in this nefarious </w:t>
      </w:r>
      <w:proofErr w:type="spellStart"/>
      <w:r w:rsidRPr="00541658">
        <w:rPr>
          <w:rFonts w:ascii="Times New Roman" w:hAnsi="Times New Roman" w:cs="Times New Roman"/>
          <w:sz w:val="24"/>
          <w:szCs w:val="24"/>
          <w:lang w:val="en-US"/>
        </w:rPr>
        <w:t>programme</w:t>
      </w:r>
      <w:proofErr w:type="spellEnd"/>
      <w:r w:rsidR="00E56348" w:rsidRPr="00541658">
        <w:rPr>
          <w:rFonts w:ascii="Times New Roman" w:hAnsi="Times New Roman" w:cs="Times New Roman"/>
          <w:sz w:val="24"/>
          <w:szCs w:val="24"/>
          <w:lang w:val="en-US"/>
        </w:rPr>
        <w:t xml:space="preserve"> has</w:t>
      </w:r>
      <w:r w:rsidR="003B0340" w:rsidRPr="00541658">
        <w:rPr>
          <w:rFonts w:ascii="Times New Roman" w:hAnsi="Times New Roman" w:cs="Times New Roman"/>
          <w:sz w:val="24"/>
          <w:szCs w:val="24"/>
          <w:lang w:val="en-US"/>
        </w:rPr>
        <w:t xml:space="preserve"> also</w:t>
      </w:r>
      <w:r w:rsidR="00E56348" w:rsidRPr="00541658">
        <w:rPr>
          <w:rFonts w:ascii="Times New Roman" w:hAnsi="Times New Roman" w:cs="Times New Roman"/>
          <w:sz w:val="24"/>
          <w:szCs w:val="24"/>
          <w:lang w:val="en-US"/>
        </w:rPr>
        <w:t xml:space="preserve"> been noted</w:t>
      </w:r>
      <w:r w:rsidRPr="00541658">
        <w:rPr>
          <w:rFonts w:ascii="Times New Roman" w:hAnsi="Times New Roman" w:cs="Times New Roman"/>
          <w:sz w:val="24"/>
          <w:szCs w:val="24"/>
          <w:lang w:val="en-US"/>
        </w:rPr>
        <w:t xml:space="preserve">. </w:t>
      </w:r>
    </w:p>
    <w:p w14:paraId="3C9A0BA1" w14:textId="14AE5FF4" w:rsidR="00BB680D" w:rsidRPr="00541658" w:rsidRDefault="003B0340" w:rsidP="00541658">
      <w:pPr>
        <w:spacing w:line="240" w:lineRule="auto"/>
        <w:jc w:val="both"/>
        <w:rPr>
          <w:rFonts w:ascii="Times New Roman" w:hAnsi="Times New Roman" w:cs="Times New Roman"/>
          <w:sz w:val="24"/>
          <w:szCs w:val="24"/>
          <w:lang w:val="en-US"/>
        </w:rPr>
      </w:pPr>
      <w:r w:rsidRPr="00541658">
        <w:rPr>
          <w:rFonts w:ascii="Times New Roman" w:hAnsi="Times New Roman" w:cs="Times New Roman"/>
          <w:sz w:val="24"/>
          <w:szCs w:val="24"/>
          <w:lang w:val="en-US"/>
        </w:rPr>
        <w:t xml:space="preserve">The true significance of this case may </w:t>
      </w:r>
      <w:r w:rsidR="00066392">
        <w:rPr>
          <w:rFonts w:ascii="Times New Roman" w:hAnsi="Times New Roman" w:cs="Times New Roman"/>
          <w:sz w:val="24"/>
          <w:szCs w:val="24"/>
          <w:lang w:val="en-US"/>
        </w:rPr>
        <w:t xml:space="preserve">however </w:t>
      </w:r>
      <w:r w:rsidRPr="00541658">
        <w:rPr>
          <w:rFonts w:ascii="Times New Roman" w:hAnsi="Times New Roman" w:cs="Times New Roman"/>
          <w:sz w:val="24"/>
          <w:szCs w:val="24"/>
          <w:lang w:val="en-US"/>
        </w:rPr>
        <w:t xml:space="preserve">depend in large part on its impact on the on-going violations </w:t>
      </w:r>
      <w:r w:rsidR="00991972" w:rsidRPr="00541658">
        <w:rPr>
          <w:rFonts w:ascii="Times New Roman" w:hAnsi="Times New Roman" w:cs="Times New Roman"/>
          <w:sz w:val="24"/>
          <w:szCs w:val="24"/>
          <w:lang w:val="en-US"/>
        </w:rPr>
        <w:t>signaled by the Court</w:t>
      </w:r>
      <w:r w:rsidRPr="00541658">
        <w:rPr>
          <w:rFonts w:ascii="Times New Roman" w:hAnsi="Times New Roman" w:cs="Times New Roman"/>
          <w:sz w:val="24"/>
          <w:szCs w:val="24"/>
          <w:lang w:val="en-US"/>
        </w:rPr>
        <w:t xml:space="preserve">. </w:t>
      </w:r>
      <w:r w:rsidR="00066392">
        <w:rPr>
          <w:rFonts w:ascii="Times New Roman" w:hAnsi="Times New Roman" w:cs="Times New Roman"/>
          <w:sz w:val="24"/>
          <w:szCs w:val="24"/>
          <w:lang w:val="en-US"/>
        </w:rPr>
        <w:t>First, t</w:t>
      </w:r>
      <w:r w:rsidR="00BB680D" w:rsidRPr="00541658">
        <w:rPr>
          <w:rFonts w:ascii="Times New Roman" w:hAnsi="Times New Roman" w:cs="Times New Roman"/>
          <w:sz w:val="24"/>
          <w:szCs w:val="24"/>
          <w:lang w:val="en-US"/>
        </w:rPr>
        <w:t>he case epitomizes the on-going refusal of states to fully grapple with their involvement with these heinous crimes</w:t>
      </w:r>
      <w:r w:rsidR="002F7B4D" w:rsidRPr="00541658">
        <w:rPr>
          <w:rFonts w:ascii="Times New Roman" w:hAnsi="Times New Roman" w:cs="Times New Roman"/>
          <w:sz w:val="24"/>
          <w:szCs w:val="24"/>
          <w:lang w:val="en-US"/>
        </w:rPr>
        <w:t>, hiding behind state secrecy, sham investigations</w:t>
      </w:r>
      <w:r w:rsidR="00066392">
        <w:rPr>
          <w:rFonts w:ascii="Times New Roman" w:hAnsi="Times New Roman" w:cs="Times New Roman"/>
          <w:sz w:val="24"/>
          <w:szCs w:val="24"/>
          <w:lang w:val="en-US"/>
        </w:rPr>
        <w:t>,</w:t>
      </w:r>
      <w:r w:rsidR="002F7B4D" w:rsidRPr="00541658">
        <w:rPr>
          <w:rFonts w:ascii="Times New Roman" w:hAnsi="Times New Roman" w:cs="Times New Roman"/>
          <w:sz w:val="24"/>
          <w:szCs w:val="24"/>
          <w:lang w:val="en-US"/>
        </w:rPr>
        <w:t xml:space="preserve"> </w:t>
      </w:r>
      <w:r w:rsidR="00827588">
        <w:rPr>
          <w:rFonts w:ascii="Times New Roman" w:hAnsi="Times New Roman" w:cs="Times New Roman"/>
          <w:sz w:val="24"/>
          <w:szCs w:val="24"/>
          <w:lang w:val="en-US"/>
        </w:rPr>
        <w:t xml:space="preserve">and </w:t>
      </w:r>
      <w:r w:rsidR="00094681" w:rsidRPr="00541658">
        <w:rPr>
          <w:rFonts w:ascii="Times New Roman" w:hAnsi="Times New Roman" w:cs="Times New Roman"/>
          <w:sz w:val="24"/>
          <w:szCs w:val="24"/>
          <w:lang w:val="en-US"/>
        </w:rPr>
        <w:t>“</w:t>
      </w:r>
      <w:r w:rsidR="002F7B4D" w:rsidRPr="00541658">
        <w:rPr>
          <w:rFonts w:ascii="Times New Roman" w:hAnsi="Times New Roman" w:cs="Times New Roman"/>
          <w:sz w:val="24"/>
          <w:szCs w:val="24"/>
          <w:lang w:val="en-US"/>
        </w:rPr>
        <w:t>friendly</w:t>
      </w:r>
      <w:r w:rsidR="00094681" w:rsidRPr="00541658">
        <w:rPr>
          <w:rFonts w:ascii="Times New Roman" w:hAnsi="Times New Roman" w:cs="Times New Roman"/>
          <w:sz w:val="24"/>
          <w:szCs w:val="24"/>
          <w:lang w:val="en-US"/>
        </w:rPr>
        <w:t>”</w:t>
      </w:r>
      <w:r w:rsidR="002F7B4D" w:rsidRPr="00541658">
        <w:rPr>
          <w:rFonts w:ascii="Times New Roman" w:hAnsi="Times New Roman" w:cs="Times New Roman"/>
          <w:sz w:val="24"/>
          <w:szCs w:val="24"/>
          <w:lang w:val="en-US"/>
        </w:rPr>
        <w:t xml:space="preserve"> relations between states</w:t>
      </w:r>
      <w:r w:rsidR="00BB680D" w:rsidRPr="00541658">
        <w:rPr>
          <w:rFonts w:ascii="Times New Roman" w:hAnsi="Times New Roman" w:cs="Times New Roman"/>
          <w:sz w:val="24"/>
          <w:szCs w:val="24"/>
          <w:lang w:val="en-US"/>
        </w:rPr>
        <w:t xml:space="preserve">. The </w:t>
      </w:r>
      <w:r w:rsidR="00094681" w:rsidRPr="00541658">
        <w:rPr>
          <w:rFonts w:ascii="Times New Roman" w:hAnsi="Times New Roman" w:cs="Times New Roman"/>
          <w:sz w:val="24"/>
          <w:szCs w:val="24"/>
          <w:lang w:val="en-US"/>
        </w:rPr>
        <w:t>C</w:t>
      </w:r>
      <w:r w:rsidR="00BB680D" w:rsidRPr="00541658">
        <w:rPr>
          <w:rFonts w:ascii="Times New Roman" w:hAnsi="Times New Roman" w:cs="Times New Roman"/>
          <w:sz w:val="24"/>
          <w:szCs w:val="24"/>
          <w:lang w:val="en-US"/>
        </w:rPr>
        <w:t>ourt’s emphasis on the right to trut</w:t>
      </w:r>
      <w:r w:rsidR="002F7B4D" w:rsidRPr="00541658">
        <w:rPr>
          <w:rFonts w:ascii="Times New Roman" w:hAnsi="Times New Roman" w:cs="Times New Roman"/>
          <w:sz w:val="24"/>
          <w:szCs w:val="24"/>
          <w:lang w:val="en-US"/>
        </w:rPr>
        <w:t xml:space="preserve">h is </w:t>
      </w:r>
      <w:r w:rsidR="00066392">
        <w:rPr>
          <w:rFonts w:ascii="Times New Roman" w:hAnsi="Times New Roman" w:cs="Times New Roman"/>
          <w:sz w:val="24"/>
          <w:szCs w:val="24"/>
          <w:lang w:val="en-US"/>
        </w:rPr>
        <w:t xml:space="preserve">therefore </w:t>
      </w:r>
      <w:r w:rsidR="002F7B4D" w:rsidRPr="00541658">
        <w:rPr>
          <w:rFonts w:ascii="Times New Roman" w:hAnsi="Times New Roman" w:cs="Times New Roman"/>
          <w:sz w:val="24"/>
          <w:szCs w:val="24"/>
          <w:lang w:val="en-US"/>
        </w:rPr>
        <w:t>key</w:t>
      </w:r>
      <w:r w:rsidR="00F707C5">
        <w:rPr>
          <w:rFonts w:ascii="Times New Roman" w:hAnsi="Times New Roman" w:cs="Times New Roman"/>
          <w:sz w:val="24"/>
          <w:szCs w:val="24"/>
          <w:lang w:val="en-US"/>
        </w:rPr>
        <w:t xml:space="preserve"> -</w:t>
      </w:r>
      <w:r w:rsidR="00BB680D" w:rsidRPr="00541658">
        <w:rPr>
          <w:rFonts w:ascii="Times New Roman" w:hAnsi="Times New Roman" w:cs="Times New Roman"/>
          <w:sz w:val="24"/>
          <w:szCs w:val="24"/>
          <w:lang w:val="en-US"/>
        </w:rPr>
        <w:t xml:space="preserve"> as </w:t>
      </w:r>
      <w:r w:rsidR="002F7B4D" w:rsidRPr="00541658">
        <w:rPr>
          <w:rFonts w:ascii="Times New Roman" w:hAnsi="Times New Roman" w:cs="Times New Roman"/>
          <w:sz w:val="24"/>
          <w:szCs w:val="24"/>
          <w:lang w:val="en-US"/>
        </w:rPr>
        <w:t xml:space="preserve">a </w:t>
      </w:r>
      <w:r w:rsidR="00BB680D" w:rsidRPr="00541658">
        <w:rPr>
          <w:rFonts w:ascii="Times New Roman" w:hAnsi="Times New Roman" w:cs="Times New Roman"/>
          <w:sz w:val="24"/>
          <w:szCs w:val="24"/>
          <w:lang w:val="en-US"/>
        </w:rPr>
        <w:t>human rights issue</w:t>
      </w:r>
      <w:r w:rsidR="002F7B4D" w:rsidRPr="00541658">
        <w:rPr>
          <w:rFonts w:ascii="Times New Roman" w:hAnsi="Times New Roman" w:cs="Times New Roman"/>
          <w:sz w:val="24"/>
          <w:szCs w:val="24"/>
          <w:lang w:val="en-US"/>
        </w:rPr>
        <w:t xml:space="preserve"> in itself, and a</w:t>
      </w:r>
      <w:r w:rsidR="00BB680D" w:rsidRPr="00541658">
        <w:rPr>
          <w:rFonts w:ascii="Times New Roman" w:hAnsi="Times New Roman" w:cs="Times New Roman"/>
          <w:sz w:val="24"/>
          <w:szCs w:val="24"/>
          <w:lang w:val="en-US"/>
        </w:rPr>
        <w:t xml:space="preserve"> pre-requisite to learning lessons and non-repetition. </w:t>
      </w:r>
      <w:r w:rsidR="00F707C5">
        <w:rPr>
          <w:rFonts w:ascii="Times New Roman" w:hAnsi="Times New Roman" w:cs="Times New Roman"/>
          <w:sz w:val="24"/>
          <w:szCs w:val="24"/>
          <w:lang w:val="en-US"/>
        </w:rPr>
        <w:t xml:space="preserve">Given the prevalence of </w:t>
      </w:r>
      <w:r w:rsidR="00066392">
        <w:rPr>
          <w:rFonts w:ascii="Times New Roman" w:hAnsi="Times New Roman" w:cs="Times New Roman"/>
          <w:sz w:val="24"/>
          <w:szCs w:val="24"/>
          <w:lang w:val="en-US"/>
        </w:rPr>
        <w:t xml:space="preserve">impunity </w:t>
      </w:r>
      <w:r w:rsidR="00F707C5">
        <w:rPr>
          <w:rFonts w:ascii="Times New Roman" w:hAnsi="Times New Roman" w:cs="Times New Roman"/>
          <w:sz w:val="24"/>
          <w:szCs w:val="24"/>
          <w:lang w:val="en-US"/>
        </w:rPr>
        <w:t>i</w:t>
      </w:r>
      <w:r w:rsidR="00066392">
        <w:rPr>
          <w:rFonts w:ascii="Times New Roman" w:hAnsi="Times New Roman" w:cs="Times New Roman"/>
          <w:sz w:val="24"/>
          <w:szCs w:val="24"/>
          <w:lang w:val="en-US"/>
        </w:rPr>
        <w:t>n almost all participating states</w:t>
      </w:r>
      <w:r w:rsidR="00F707C5">
        <w:rPr>
          <w:rFonts w:ascii="Times New Roman" w:hAnsi="Times New Roman" w:cs="Times New Roman"/>
          <w:sz w:val="24"/>
          <w:szCs w:val="24"/>
          <w:lang w:val="en-US"/>
        </w:rPr>
        <w:t>, t</w:t>
      </w:r>
      <w:r w:rsidR="00BB680D" w:rsidRPr="00541658">
        <w:rPr>
          <w:rFonts w:ascii="Times New Roman" w:hAnsi="Times New Roman" w:cs="Times New Roman"/>
          <w:sz w:val="24"/>
          <w:szCs w:val="24"/>
          <w:lang w:val="en-US"/>
        </w:rPr>
        <w:t>he</w:t>
      </w:r>
      <w:r w:rsidR="00066392">
        <w:rPr>
          <w:rFonts w:ascii="Times New Roman" w:hAnsi="Times New Roman" w:cs="Times New Roman"/>
          <w:sz w:val="24"/>
          <w:szCs w:val="24"/>
          <w:lang w:val="en-US"/>
        </w:rPr>
        <w:t xml:space="preserve"> Court’s emphasis</w:t>
      </w:r>
      <w:r w:rsidR="00BB680D" w:rsidRPr="00541658">
        <w:rPr>
          <w:rFonts w:ascii="Times New Roman" w:hAnsi="Times New Roman" w:cs="Times New Roman"/>
          <w:sz w:val="24"/>
          <w:szCs w:val="24"/>
          <w:lang w:val="en-US"/>
        </w:rPr>
        <w:t xml:space="preserve"> </w:t>
      </w:r>
      <w:r w:rsidR="00066392" w:rsidRPr="005A6A2B">
        <w:rPr>
          <w:rFonts w:ascii="Times New Roman" w:hAnsi="Times New Roman" w:cs="Times New Roman"/>
          <w:sz w:val="24"/>
          <w:szCs w:val="24"/>
          <w:lang w:val="en-US"/>
        </w:rPr>
        <w:t xml:space="preserve">on </w:t>
      </w:r>
      <w:r w:rsidR="00066392">
        <w:rPr>
          <w:rFonts w:ascii="Times New Roman" w:hAnsi="Times New Roman" w:cs="Times New Roman"/>
          <w:sz w:val="24"/>
          <w:szCs w:val="24"/>
          <w:lang w:val="en-US"/>
        </w:rPr>
        <w:t xml:space="preserve">meaningful investigation and </w:t>
      </w:r>
      <w:r w:rsidR="00066392" w:rsidRPr="005A6A2B">
        <w:rPr>
          <w:rFonts w:ascii="Times New Roman" w:hAnsi="Times New Roman" w:cs="Times New Roman"/>
          <w:sz w:val="24"/>
          <w:szCs w:val="24"/>
          <w:lang w:val="en-US"/>
        </w:rPr>
        <w:t>accountability</w:t>
      </w:r>
      <w:r w:rsidR="00BB680D" w:rsidRPr="00541658">
        <w:rPr>
          <w:rFonts w:ascii="Times New Roman" w:hAnsi="Times New Roman" w:cs="Times New Roman"/>
          <w:sz w:val="24"/>
          <w:szCs w:val="24"/>
          <w:lang w:val="en-US"/>
        </w:rPr>
        <w:t xml:space="preserve"> should </w:t>
      </w:r>
      <w:r w:rsidR="002F7B4D" w:rsidRPr="00541658">
        <w:rPr>
          <w:rFonts w:ascii="Times New Roman" w:hAnsi="Times New Roman" w:cs="Times New Roman"/>
          <w:sz w:val="24"/>
          <w:szCs w:val="24"/>
          <w:lang w:val="en-US"/>
        </w:rPr>
        <w:t>have</w:t>
      </w:r>
      <w:r w:rsidR="00BB680D" w:rsidRPr="00541658">
        <w:rPr>
          <w:rFonts w:ascii="Times New Roman" w:hAnsi="Times New Roman" w:cs="Times New Roman"/>
          <w:sz w:val="24"/>
          <w:szCs w:val="24"/>
          <w:lang w:val="en-US"/>
        </w:rPr>
        <w:t xml:space="preserve"> </w:t>
      </w:r>
      <w:r w:rsidR="0001487D" w:rsidRPr="00541658">
        <w:rPr>
          <w:rFonts w:ascii="Times New Roman" w:hAnsi="Times New Roman" w:cs="Times New Roman"/>
          <w:sz w:val="24"/>
          <w:szCs w:val="24"/>
          <w:lang w:val="en-US"/>
        </w:rPr>
        <w:t>resonance</w:t>
      </w:r>
      <w:r w:rsidR="00BB680D" w:rsidRPr="00541658">
        <w:rPr>
          <w:rFonts w:ascii="Times New Roman" w:hAnsi="Times New Roman" w:cs="Times New Roman"/>
          <w:sz w:val="24"/>
          <w:szCs w:val="24"/>
          <w:lang w:val="en-US"/>
        </w:rPr>
        <w:t xml:space="preserve"> </w:t>
      </w:r>
      <w:r w:rsidR="00066392">
        <w:rPr>
          <w:rFonts w:ascii="Times New Roman" w:hAnsi="Times New Roman" w:cs="Times New Roman"/>
          <w:sz w:val="24"/>
          <w:szCs w:val="24"/>
          <w:lang w:val="en-US"/>
        </w:rPr>
        <w:t>beyond Lithuania</w:t>
      </w:r>
      <w:r w:rsidR="00F707C5">
        <w:rPr>
          <w:rFonts w:ascii="Times New Roman" w:hAnsi="Times New Roman" w:cs="Times New Roman"/>
          <w:sz w:val="24"/>
          <w:szCs w:val="24"/>
          <w:lang w:val="en-US"/>
        </w:rPr>
        <w:t xml:space="preserve"> and provide </w:t>
      </w:r>
      <w:r w:rsidR="00066392">
        <w:rPr>
          <w:rFonts w:ascii="Times New Roman" w:hAnsi="Times New Roman" w:cs="Times New Roman"/>
          <w:sz w:val="24"/>
          <w:szCs w:val="24"/>
          <w:lang w:val="en-US"/>
        </w:rPr>
        <w:t>another tool to press for accountability.</w:t>
      </w:r>
    </w:p>
    <w:p w14:paraId="79F20EF5" w14:textId="3C00B906" w:rsidR="00147144" w:rsidRPr="00541658" w:rsidRDefault="003B0340" w:rsidP="00C1054B">
      <w:pPr>
        <w:spacing w:line="240" w:lineRule="auto"/>
        <w:jc w:val="both"/>
        <w:rPr>
          <w:rFonts w:ascii="Times New Roman" w:hAnsi="Times New Roman" w:cs="Times New Roman"/>
          <w:sz w:val="24"/>
          <w:szCs w:val="24"/>
          <w:u w:val="single"/>
          <w:lang w:val="en-US"/>
        </w:rPr>
      </w:pPr>
      <w:r w:rsidRPr="00541658">
        <w:rPr>
          <w:rFonts w:ascii="Times New Roman" w:hAnsi="Times New Roman" w:cs="Times New Roman"/>
          <w:sz w:val="24"/>
          <w:szCs w:val="24"/>
          <w:lang w:val="en-US"/>
        </w:rPr>
        <w:t>Importantly</w:t>
      </w:r>
      <w:r w:rsidR="00BB680D" w:rsidRPr="00541658">
        <w:rPr>
          <w:rFonts w:ascii="Times New Roman" w:hAnsi="Times New Roman" w:cs="Times New Roman"/>
          <w:sz w:val="24"/>
          <w:szCs w:val="24"/>
          <w:lang w:val="en-US"/>
        </w:rPr>
        <w:t xml:space="preserve">, the judgment </w:t>
      </w:r>
      <w:r w:rsidR="00445B9C" w:rsidRPr="00541658">
        <w:rPr>
          <w:rFonts w:ascii="Times New Roman" w:hAnsi="Times New Roman" w:cs="Times New Roman"/>
          <w:sz w:val="24"/>
          <w:szCs w:val="24"/>
          <w:lang w:val="en-US"/>
        </w:rPr>
        <w:t>links</w:t>
      </w:r>
      <w:r w:rsidR="00BB680D" w:rsidRPr="00541658">
        <w:rPr>
          <w:rFonts w:ascii="Times New Roman" w:hAnsi="Times New Roman" w:cs="Times New Roman"/>
          <w:sz w:val="24"/>
          <w:szCs w:val="24"/>
          <w:lang w:val="en-US"/>
        </w:rPr>
        <w:t xml:space="preserve"> the travesty of the rendition program</w:t>
      </w:r>
      <w:r w:rsidR="00445B9C" w:rsidRPr="00541658">
        <w:rPr>
          <w:rFonts w:ascii="Times New Roman" w:hAnsi="Times New Roman" w:cs="Times New Roman"/>
          <w:sz w:val="24"/>
          <w:szCs w:val="24"/>
          <w:lang w:val="en-US"/>
        </w:rPr>
        <w:t xml:space="preserve"> </w:t>
      </w:r>
      <w:r w:rsidR="000560E5" w:rsidRPr="00541658">
        <w:rPr>
          <w:rFonts w:ascii="Times New Roman" w:hAnsi="Times New Roman" w:cs="Times New Roman"/>
          <w:sz w:val="24"/>
          <w:szCs w:val="24"/>
          <w:lang w:val="en-US"/>
        </w:rPr>
        <w:t xml:space="preserve">to the on-going violations of Abu </w:t>
      </w:r>
      <w:proofErr w:type="spellStart"/>
      <w:r w:rsidR="000560E5" w:rsidRPr="00541658">
        <w:rPr>
          <w:rFonts w:ascii="Times New Roman" w:hAnsi="Times New Roman" w:cs="Times New Roman"/>
          <w:sz w:val="24"/>
          <w:szCs w:val="24"/>
          <w:lang w:val="en-US"/>
        </w:rPr>
        <w:t>Zubaydah’s</w:t>
      </w:r>
      <w:proofErr w:type="spellEnd"/>
      <w:r w:rsidR="000560E5" w:rsidRPr="00541658">
        <w:rPr>
          <w:rFonts w:ascii="Times New Roman" w:hAnsi="Times New Roman" w:cs="Times New Roman"/>
          <w:sz w:val="24"/>
          <w:szCs w:val="24"/>
          <w:lang w:val="en-US"/>
        </w:rPr>
        <w:t xml:space="preserve"> rights</w:t>
      </w:r>
      <w:r w:rsidR="00445B9C" w:rsidRPr="00541658">
        <w:rPr>
          <w:rFonts w:ascii="Times New Roman" w:hAnsi="Times New Roman" w:cs="Times New Roman"/>
          <w:sz w:val="24"/>
          <w:szCs w:val="24"/>
          <w:lang w:val="en-US"/>
        </w:rPr>
        <w:t xml:space="preserve"> today</w:t>
      </w:r>
      <w:r w:rsidR="00066392">
        <w:rPr>
          <w:rFonts w:ascii="Times New Roman" w:hAnsi="Times New Roman" w:cs="Times New Roman"/>
          <w:sz w:val="24"/>
          <w:szCs w:val="24"/>
          <w:lang w:val="en-US"/>
        </w:rPr>
        <w:t>. We should</w:t>
      </w:r>
      <w:r w:rsidRPr="00541658">
        <w:rPr>
          <w:rFonts w:ascii="Times New Roman" w:hAnsi="Times New Roman" w:cs="Times New Roman"/>
          <w:sz w:val="24"/>
          <w:szCs w:val="24"/>
          <w:lang w:val="en-US"/>
        </w:rPr>
        <w:t xml:space="preserve"> </w:t>
      </w:r>
      <w:r w:rsidR="00066392">
        <w:rPr>
          <w:rFonts w:ascii="Times New Roman" w:hAnsi="Times New Roman" w:cs="Times New Roman"/>
          <w:sz w:val="24"/>
          <w:szCs w:val="24"/>
          <w:lang w:val="en-US"/>
        </w:rPr>
        <w:t xml:space="preserve">use it </w:t>
      </w:r>
      <w:r w:rsidR="00445B9C" w:rsidRPr="00541658">
        <w:rPr>
          <w:rFonts w:ascii="Times New Roman" w:hAnsi="Times New Roman" w:cs="Times New Roman"/>
          <w:sz w:val="24"/>
          <w:szCs w:val="24"/>
          <w:lang w:val="en-US"/>
        </w:rPr>
        <w:t>to</w:t>
      </w:r>
      <w:r w:rsidR="000560E5" w:rsidRPr="00541658">
        <w:rPr>
          <w:rFonts w:ascii="Times New Roman" w:hAnsi="Times New Roman" w:cs="Times New Roman"/>
          <w:sz w:val="24"/>
          <w:szCs w:val="24"/>
          <w:lang w:val="en-US"/>
        </w:rPr>
        <w:t xml:space="preserve"> </w:t>
      </w:r>
      <w:r w:rsidR="00F707C5">
        <w:rPr>
          <w:rFonts w:ascii="Times New Roman" w:hAnsi="Times New Roman" w:cs="Times New Roman"/>
          <w:sz w:val="24"/>
          <w:szCs w:val="24"/>
          <w:lang w:val="en-US"/>
        </w:rPr>
        <w:t>re</w:t>
      </w:r>
      <w:r w:rsidR="00BB680D" w:rsidRPr="00541658">
        <w:rPr>
          <w:rFonts w:ascii="Times New Roman" w:hAnsi="Times New Roman" w:cs="Times New Roman"/>
          <w:sz w:val="24"/>
          <w:szCs w:val="24"/>
          <w:lang w:val="en-US"/>
        </w:rPr>
        <w:t xml:space="preserve">focus urgent attention </w:t>
      </w:r>
      <w:r w:rsidR="00445B9C" w:rsidRPr="00541658">
        <w:rPr>
          <w:rFonts w:ascii="Times New Roman" w:hAnsi="Times New Roman" w:cs="Times New Roman"/>
          <w:sz w:val="24"/>
          <w:szCs w:val="24"/>
          <w:lang w:val="en-US"/>
        </w:rPr>
        <w:t xml:space="preserve">on </w:t>
      </w:r>
      <w:r w:rsidR="00BB680D" w:rsidRPr="00541658">
        <w:rPr>
          <w:rFonts w:ascii="Times New Roman" w:hAnsi="Times New Roman" w:cs="Times New Roman"/>
          <w:sz w:val="24"/>
          <w:szCs w:val="24"/>
          <w:lang w:val="en-US"/>
        </w:rPr>
        <w:t>a man</w:t>
      </w:r>
      <w:r w:rsidR="00094681" w:rsidRPr="00541658">
        <w:rPr>
          <w:rFonts w:ascii="Times New Roman" w:hAnsi="Times New Roman" w:cs="Times New Roman"/>
          <w:sz w:val="24"/>
          <w:szCs w:val="24"/>
          <w:lang w:val="en-US"/>
        </w:rPr>
        <w:t xml:space="preserve"> who</w:t>
      </w:r>
      <w:r w:rsidR="00BB680D" w:rsidRPr="00541658">
        <w:rPr>
          <w:rFonts w:ascii="Times New Roman" w:hAnsi="Times New Roman" w:cs="Times New Roman"/>
          <w:sz w:val="24"/>
          <w:szCs w:val="24"/>
          <w:lang w:val="en-US"/>
        </w:rPr>
        <w:t xml:space="preserve"> has now been held in arbitrary detention for a staggering 16 years and</w:t>
      </w:r>
      <w:r w:rsidRPr="00541658">
        <w:rPr>
          <w:rFonts w:ascii="Times New Roman" w:hAnsi="Times New Roman" w:cs="Times New Roman"/>
          <w:sz w:val="24"/>
          <w:szCs w:val="24"/>
          <w:lang w:val="en-US"/>
        </w:rPr>
        <w:t xml:space="preserve"> 2</w:t>
      </w:r>
      <w:r w:rsidR="00BB680D" w:rsidRPr="00541658">
        <w:rPr>
          <w:rFonts w:ascii="Times New Roman" w:hAnsi="Times New Roman" w:cs="Times New Roman"/>
          <w:sz w:val="24"/>
          <w:szCs w:val="24"/>
          <w:lang w:val="en-US"/>
        </w:rPr>
        <w:t xml:space="preserve"> months.</w:t>
      </w:r>
      <w:r w:rsidR="00094681" w:rsidRPr="00541658">
        <w:rPr>
          <w:rFonts w:ascii="Times New Roman" w:hAnsi="Times New Roman" w:cs="Times New Roman"/>
          <w:sz w:val="24"/>
          <w:szCs w:val="24"/>
          <w:lang w:val="en-US"/>
        </w:rPr>
        <w:t xml:space="preserve"> There is a </w:t>
      </w:r>
      <w:r w:rsidR="00F707C5">
        <w:rPr>
          <w:rFonts w:ascii="Times New Roman" w:hAnsi="Times New Roman" w:cs="Times New Roman"/>
          <w:sz w:val="24"/>
          <w:szCs w:val="24"/>
          <w:lang w:val="en-US"/>
        </w:rPr>
        <w:t xml:space="preserve">real </w:t>
      </w:r>
      <w:r w:rsidR="00094681" w:rsidRPr="00541658">
        <w:rPr>
          <w:rFonts w:ascii="Times New Roman" w:hAnsi="Times New Roman" w:cs="Times New Roman"/>
          <w:sz w:val="24"/>
          <w:szCs w:val="24"/>
          <w:lang w:val="en-US"/>
        </w:rPr>
        <w:t>risk that after so long,</w:t>
      </w:r>
      <w:r w:rsidRPr="00541658">
        <w:rPr>
          <w:rFonts w:ascii="Times New Roman" w:hAnsi="Times New Roman" w:cs="Times New Roman"/>
          <w:sz w:val="24"/>
          <w:szCs w:val="24"/>
          <w:lang w:val="en-US"/>
        </w:rPr>
        <w:t xml:space="preserve"> the current status quo </w:t>
      </w:r>
      <w:r w:rsidR="00066392">
        <w:rPr>
          <w:rFonts w:ascii="Times New Roman" w:hAnsi="Times New Roman" w:cs="Times New Roman"/>
          <w:sz w:val="24"/>
          <w:szCs w:val="24"/>
          <w:lang w:val="en-US"/>
        </w:rPr>
        <w:t>of</w:t>
      </w:r>
      <w:bookmarkStart w:id="0" w:name="_GoBack"/>
      <w:bookmarkEnd w:id="0"/>
      <w:r w:rsidR="00066392">
        <w:rPr>
          <w:rFonts w:ascii="Times New Roman" w:hAnsi="Times New Roman" w:cs="Times New Roman"/>
          <w:sz w:val="24"/>
          <w:szCs w:val="24"/>
          <w:lang w:val="en-US"/>
        </w:rPr>
        <w:t xml:space="preserve"> ‘forever prisoners’ is </w:t>
      </w:r>
      <w:r w:rsidRPr="00541658">
        <w:rPr>
          <w:rFonts w:ascii="Times New Roman" w:hAnsi="Times New Roman" w:cs="Times New Roman"/>
          <w:sz w:val="24"/>
          <w:szCs w:val="24"/>
          <w:lang w:val="en-US"/>
        </w:rPr>
        <w:t>normaliz</w:t>
      </w:r>
      <w:r w:rsidR="00066392">
        <w:rPr>
          <w:rFonts w:ascii="Times New Roman" w:hAnsi="Times New Roman" w:cs="Times New Roman"/>
          <w:sz w:val="24"/>
          <w:szCs w:val="24"/>
          <w:lang w:val="en-US"/>
        </w:rPr>
        <w:t>ing</w:t>
      </w:r>
      <w:r w:rsidRPr="00541658">
        <w:rPr>
          <w:rFonts w:ascii="Times New Roman" w:hAnsi="Times New Roman" w:cs="Times New Roman"/>
          <w:sz w:val="24"/>
          <w:szCs w:val="24"/>
          <w:lang w:val="en-US"/>
        </w:rPr>
        <w:t>.</w:t>
      </w:r>
      <w:r w:rsidR="00094681" w:rsidRPr="00541658">
        <w:rPr>
          <w:rFonts w:ascii="Times New Roman" w:hAnsi="Times New Roman" w:cs="Times New Roman"/>
          <w:sz w:val="24"/>
          <w:szCs w:val="24"/>
          <w:lang w:val="en-US"/>
        </w:rPr>
        <w:t xml:space="preserve"> </w:t>
      </w:r>
      <w:r w:rsidR="00991972" w:rsidRPr="00541658">
        <w:rPr>
          <w:rFonts w:ascii="Times New Roman" w:hAnsi="Times New Roman" w:cs="Times New Roman"/>
          <w:sz w:val="24"/>
          <w:szCs w:val="24"/>
          <w:lang w:val="en-US"/>
        </w:rPr>
        <w:t xml:space="preserve">As the judgment suggests, </w:t>
      </w:r>
      <w:r w:rsidR="00BB680D" w:rsidRPr="00541658">
        <w:rPr>
          <w:rFonts w:ascii="Times New Roman" w:hAnsi="Times New Roman" w:cs="Times New Roman"/>
          <w:sz w:val="24"/>
          <w:szCs w:val="24"/>
          <w:lang w:val="en-US"/>
        </w:rPr>
        <w:t xml:space="preserve">the </w:t>
      </w:r>
      <w:r w:rsidR="00445B9C" w:rsidRPr="00541658">
        <w:rPr>
          <w:rFonts w:ascii="Times New Roman" w:hAnsi="Times New Roman" w:cs="Times New Roman"/>
          <w:sz w:val="24"/>
          <w:szCs w:val="24"/>
          <w:lang w:val="en-US"/>
        </w:rPr>
        <w:t xml:space="preserve">many </w:t>
      </w:r>
      <w:r w:rsidR="00BB680D" w:rsidRPr="00541658">
        <w:rPr>
          <w:rFonts w:ascii="Times New Roman" w:hAnsi="Times New Roman" w:cs="Times New Roman"/>
          <w:sz w:val="24"/>
          <w:szCs w:val="24"/>
          <w:lang w:val="en-US"/>
        </w:rPr>
        <w:t xml:space="preserve">states </w:t>
      </w:r>
      <w:r w:rsidR="00094681" w:rsidRPr="00541658">
        <w:rPr>
          <w:rFonts w:ascii="Times New Roman" w:hAnsi="Times New Roman" w:cs="Times New Roman"/>
          <w:sz w:val="24"/>
          <w:szCs w:val="24"/>
          <w:lang w:val="en-US"/>
        </w:rPr>
        <w:t xml:space="preserve">that </w:t>
      </w:r>
      <w:r w:rsidR="00BB680D" w:rsidRPr="00541658">
        <w:rPr>
          <w:rFonts w:ascii="Times New Roman" w:hAnsi="Times New Roman" w:cs="Times New Roman"/>
          <w:sz w:val="24"/>
          <w:szCs w:val="24"/>
          <w:lang w:val="en-US"/>
        </w:rPr>
        <w:t>contributed</w:t>
      </w:r>
      <w:r w:rsidR="00066392">
        <w:rPr>
          <w:rFonts w:ascii="Times New Roman" w:hAnsi="Times New Roman" w:cs="Times New Roman"/>
          <w:sz w:val="24"/>
          <w:szCs w:val="24"/>
          <w:lang w:val="en-US"/>
        </w:rPr>
        <w:t>,</w:t>
      </w:r>
      <w:r w:rsidR="00BB680D" w:rsidRPr="00541658">
        <w:rPr>
          <w:rFonts w:ascii="Times New Roman" w:hAnsi="Times New Roman" w:cs="Times New Roman"/>
          <w:sz w:val="24"/>
          <w:szCs w:val="24"/>
          <w:lang w:val="en-US"/>
        </w:rPr>
        <w:t xml:space="preserve"> </w:t>
      </w:r>
      <w:r w:rsidR="00445B9C" w:rsidRPr="00541658">
        <w:rPr>
          <w:rFonts w:ascii="Times New Roman" w:hAnsi="Times New Roman" w:cs="Times New Roman"/>
          <w:sz w:val="24"/>
          <w:szCs w:val="24"/>
          <w:lang w:val="en-US"/>
        </w:rPr>
        <w:t>incl</w:t>
      </w:r>
      <w:r w:rsidR="00BB680D" w:rsidRPr="00541658">
        <w:rPr>
          <w:rFonts w:ascii="Times New Roman" w:hAnsi="Times New Roman" w:cs="Times New Roman"/>
          <w:sz w:val="24"/>
          <w:szCs w:val="24"/>
          <w:lang w:val="en-US"/>
        </w:rPr>
        <w:t xml:space="preserve">uding Lithuania, </w:t>
      </w:r>
      <w:r w:rsidR="00066392">
        <w:rPr>
          <w:rFonts w:ascii="Times New Roman" w:hAnsi="Times New Roman" w:cs="Times New Roman"/>
          <w:sz w:val="24"/>
          <w:szCs w:val="24"/>
          <w:lang w:val="en-US"/>
        </w:rPr>
        <w:t xml:space="preserve">should </w:t>
      </w:r>
      <w:r w:rsidR="00F707C5">
        <w:rPr>
          <w:rFonts w:ascii="Times New Roman" w:hAnsi="Times New Roman" w:cs="Times New Roman"/>
          <w:sz w:val="24"/>
          <w:szCs w:val="24"/>
          <w:lang w:val="en-US"/>
        </w:rPr>
        <w:t xml:space="preserve">now </w:t>
      </w:r>
      <w:r w:rsidR="00066392">
        <w:rPr>
          <w:rFonts w:ascii="Times New Roman" w:hAnsi="Times New Roman" w:cs="Times New Roman"/>
          <w:sz w:val="24"/>
          <w:szCs w:val="24"/>
          <w:lang w:val="en-US"/>
        </w:rPr>
        <w:t xml:space="preserve">be held to their duties </w:t>
      </w:r>
      <w:r w:rsidR="00BB680D" w:rsidRPr="00541658">
        <w:rPr>
          <w:rFonts w:ascii="Times New Roman" w:hAnsi="Times New Roman" w:cs="Times New Roman"/>
          <w:sz w:val="24"/>
          <w:szCs w:val="24"/>
          <w:lang w:val="en-US"/>
        </w:rPr>
        <w:t xml:space="preserve">to do everything possible to bring this injustice to an end and </w:t>
      </w:r>
      <w:r w:rsidR="00066392">
        <w:rPr>
          <w:rFonts w:ascii="Times New Roman" w:hAnsi="Times New Roman" w:cs="Times New Roman"/>
          <w:sz w:val="24"/>
          <w:szCs w:val="24"/>
          <w:lang w:val="en-US"/>
        </w:rPr>
        <w:t xml:space="preserve">bring </w:t>
      </w:r>
      <w:r w:rsidR="00F707C5">
        <w:rPr>
          <w:rFonts w:ascii="Times New Roman" w:hAnsi="Times New Roman" w:cs="Times New Roman"/>
          <w:sz w:val="24"/>
          <w:szCs w:val="24"/>
          <w:lang w:val="en-US"/>
        </w:rPr>
        <w:t>him</w:t>
      </w:r>
      <w:r w:rsidR="00445B9C" w:rsidRPr="00541658">
        <w:rPr>
          <w:rFonts w:ascii="Times New Roman" w:hAnsi="Times New Roman" w:cs="Times New Roman"/>
          <w:sz w:val="24"/>
          <w:szCs w:val="24"/>
          <w:lang w:val="en-US"/>
        </w:rPr>
        <w:t xml:space="preserve"> </w:t>
      </w:r>
      <w:r w:rsidR="00BB680D" w:rsidRPr="00541658">
        <w:rPr>
          <w:rFonts w:ascii="Times New Roman" w:hAnsi="Times New Roman" w:cs="Times New Roman"/>
          <w:sz w:val="24"/>
          <w:szCs w:val="24"/>
          <w:lang w:val="en-US"/>
        </w:rPr>
        <w:t>back within the rule of law.</w:t>
      </w:r>
      <w:r w:rsidR="00F707C5">
        <w:rPr>
          <w:rFonts w:ascii="Times New Roman" w:hAnsi="Times New Roman" w:cs="Times New Roman"/>
          <w:sz w:val="24"/>
          <w:szCs w:val="24"/>
          <w:lang w:val="en-US"/>
        </w:rPr>
        <w:t xml:space="preserve"> </w:t>
      </w:r>
      <w:r w:rsidR="00066392">
        <w:rPr>
          <w:rFonts w:ascii="Times New Roman" w:hAnsi="Times New Roman" w:cs="Times New Roman"/>
          <w:sz w:val="24"/>
          <w:szCs w:val="24"/>
          <w:lang w:val="en-US"/>
        </w:rPr>
        <w:t>I hope it will be a useful tool for lawyers</w:t>
      </w:r>
      <w:r w:rsidR="00C1054B">
        <w:rPr>
          <w:rFonts w:ascii="Times New Roman" w:hAnsi="Times New Roman" w:cs="Times New Roman"/>
          <w:sz w:val="24"/>
          <w:szCs w:val="24"/>
          <w:lang w:val="en-US"/>
        </w:rPr>
        <w:t>,</w:t>
      </w:r>
      <w:r w:rsidR="00066392">
        <w:rPr>
          <w:rFonts w:ascii="Times New Roman" w:hAnsi="Times New Roman" w:cs="Times New Roman"/>
          <w:sz w:val="24"/>
          <w:szCs w:val="24"/>
          <w:lang w:val="en-US"/>
        </w:rPr>
        <w:t xml:space="preserve"> advocates</w:t>
      </w:r>
      <w:r w:rsidR="00F707C5">
        <w:rPr>
          <w:rFonts w:ascii="Times New Roman" w:hAnsi="Times New Roman" w:cs="Times New Roman"/>
          <w:sz w:val="24"/>
          <w:szCs w:val="24"/>
          <w:lang w:val="en-US"/>
        </w:rPr>
        <w:t xml:space="preserve"> </w:t>
      </w:r>
      <w:r w:rsidR="00C1054B">
        <w:rPr>
          <w:rFonts w:ascii="Times New Roman" w:hAnsi="Times New Roman" w:cs="Times New Roman"/>
          <w:sz w:val="24"/>
          <w:szCs w:val="24"/>
          <w:lang w:val="en-US"/>
        </w:rPr>
        <w:t xml:space="preserve">and others </w:t>
      </w:r>
      <w:r w:rsidR="00F707C5">
        <w:rPr>
          <w:rFonts w:ascii="Times New Roman" w:hAnsi="Times New Roman" w:cs="Times New Roman"/>
          <w:sz w:val="24"/>
          <w:szCs w:val="24"/>
          <w:lang w:val="en-US"/>
        </w:rPr>
        <w:t xml:space="preserve">engaged in these uphill </w:t>
      </w:r>
      <w:r w:rsidR="00066392">
        <w:rPr>
          <w:rFonts w:ascii="Times New Roman" w:hAnsi="Times New Roman" w:cs="Times New Roman"/>
          <w:sz w:val="24"/>
          <w:szCs w:val="24"/>
          <w:lang w:val="en-US"/>
        </w:rPr>
        <w:t>struggles.</w:t>
      </w:r>
    </w:p>
    <w:p w14:paraId="6AD40162" w14:textId="77777777" w:rsidR="00D062FB" w:rsidRDefault="007441C0" w:rsidP="005416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June 2018</w:t>
      </w:r>
      <w:r w:rsidR="00D062FB">
        <w:rPr>
          <w:rFonts w:ascii="Times New Roman" w:hAnsi="Times New Roman" w:cs="Times New Roman"/>
          <w:sz w:val="24"/>
          <w:szCs w:val="24"/>
          <w:lang w:val="en-US"/>
        </w:rPr>
        <w:t xml:space="preserve"> </w:t>
      </w:r>
    </w:p>
    <w:p w14:paraId="04C51F58" w14:textId="5C0FF26C" w:rsidR="00066392" w:rsidRDefault="00C816F5" w:rsidP="00541658">
      <w:pPr>
        <w:spacing w:after="0" w:line="240" w:lineRule="auto"/>
        <w:jc w:val="both"/>
        <w:rPr>
          <w:rFonts w:ascii="Times New Roman" w:eastAsia="Calibri" w:hAnsi="Times New Roman" w:cs="Times New Roman"/>
          <w:sz w:val="24"/>
          <w:szCs w:val="24"/>
          <w:lang w:val="en-US" w:eastAsia="nl-NL"/>
        </w:rPr>
      </w:pPr>
      <w:r w:rsidRPr="00541658">
        <w:rPr>
          <w:rFonts w:ascii="Times New Roman" w:hAnsi="Times New Roman" w:cs="Times New Roman"/>
          <w:sz w:val="24"/>
          <w:szCs w:val="24"/>
          <w:lang w:val="en-US"/>
        </w:rPr>
        <w:t>For more information:</w:t>
      </w:r>
      <w:r w:rsidR="00066392">
        <w:rPr>
          <w:rFonts w:ascii="Times New Roman" w:eastAsia="Calibri" w:hAnsi="Times New Roman" w:cs="Times New Roman"/>
          <w:sz w:val="24"/>
          <w:szCs w:val="24"/>
          <w:lang w:val="en-US" w:eastAsia="nl-NL"/>
        </w:rPr>
        <w:t xml:space="preserve"> </w:t>
      </w:r>
    </w:p>
    <w:p w14:paraId="1FD035F7" w14:textId="768EE255" w:rsidR="00B249F2" w:rsidRPr="00541658" w:rsidRDefault="00C816F5" w:rsidP="00541658">
      <w:pPr>
        <w:spacing w:after="0" w:line="240" w:lineRule="auto"/>
        <w:jc w:val="both"/>
        <w:rPr>
          <w:rFonts w:ascii="Times New Roman" w:hAnsi="Times New Roman" w:cs="Times New Roman"/>
          <w:sz w:val="24"/>
          <w:szCs w:val="24"/>
          <w:lang w:val="en-US"/>
        </w:rPr>
      </w:pPr>
      <w:r w:rsidRPr="00541658">
        <w:rPr>
          <w:rFonts w:ascii="Times New Roman" w:eastAsia="Calibri" w:hAnsi="Times New Roman" w:cs="Times New Roman"/>
          <w:sz w:val="24"/>
          <w:szCs w:val="24"/>
          <w:lang w:val="en-US" w:eastAsia="nl-NL"/>
        </w:rPr>
        <w:t>Helen Duffy</w:t>
      </w:r>
      <w:r w:rsidR="008E44FD">
        <w:rPr>
          <w:rFonts w:ascii="Times New Roman" w:eastAsia="Calibri" w:hAnsi="Times New Roman" w:cs="Times New Roman"/>
          <w:sz w:val="24"/>
          <w:szCs w:val="24"/>
          <w:lang w:val="en-US" w:eastAsia="nl-NL"/>
        </w:rPr>
        <w:t xml:space="preserve">, </w:t>
      </w:r>
      <w:r w:rsidRPr="00541658">
        <w:rPr>
          <w:rFonts w:ascii="Times New Roman" w:eastAsia="Calibri" w:hAnsi="Times New Roman" w:cs="Times New Roman"/>
          <w:sz w:val="24"/>
          <w:szCs w:val="24"/>
          <w:lang w:val="en-US" w:eastAsia="nl-NL"/>
        </w:rPr>
        <w:t>Human Rights in Practice</w:t>
      </w:r>
      <w:r w:rsidR="00066392">
        <w:rPr>
          <w:rFonts w:ascii="Times New Roman" w:eastAsia="Calibri" w:hAnsi="Times New Roman" w:cs="Times New Roman"/>
          <w:sz w:val="24"/>
          <w:szCs w:val="24"/>
          <w:lang w:val="en-US" w:eastAsia="nl-NL"/>
        </w:rPr>
        <w:t xml:space="preserve">, </w:t>
      </w:r>
      <w:hyperlink r:id="rId7" w:history="1">
        <w:r w:rsidRPr="00541658">
          <w:rPr>
            <w:rFonts w:ascii="Times New Roman" w:eastAsia="Calibri" w:hAnsi="Times New Roman" w:cs="Times New Roman"/>
            <w:color w:val="0000FF"/>
            <w:sz w:val="24"/>
            <w:szCs w:val="24"/>
            <w:u w:val="single"/>
            <w:lang w:val="en-US" w:eastAsia="nl-NL"/>
          </w:rPr>
          <w:t>helen@rightsinpractice.org</w:t>
        </w:r>
      </w:hyperlink>
      <w:r w:rsidR="00AE68B2" w:rsidRPr="00541658">
        <w:rPr>
          <w:rFonts w:ascii="Times New Roman" w:eastAsia="Calibri" w:hAnsi="Times New Roman" w:cs="Times New Roman"/>
          <w:sz w:val="24"/>
          <w:szCs w:val="24"/>
          <w:lang w:val="en-US" w:eastAsia="nl-NL"/>
        </w:rPr>
        <w:t xml:space="preserve">; </w:t>
      </w:r>
      <w:r w:rsidRPr="00541658">
        <w:rPr>
          <w:rFonts w:ascii="Times New Roman" w:eastAsia="Calibri" w:hAnsi="Times New Roman" w:cs="Times New Roman"/>
          <w:sz w:val="24"/>
          <w:szCs w:val="24"/>
          <w:lang w:val="en-US" w:eastAsia="nl-NL"/>
        </w:rPr>
        <w:t>@</w:t>
      </w:r>
      <w:proofErr w:type="spellStart"/>
      <w:r w:rsidRPr="00541658">
        <w:rPr>
          <w:rFonts w:ascii="Times New Roman" w:eastAsia="Calibri" w:hAnsi="Times New Roman" w:cs="Times New Roman"/>
          <w:sz w:val="24"/>
          <w:szCs w:val="24"/>
          <w:lang w:val="en-US" w:eastAsia="nl-NL"/>
        </w:rPr>
        <w:t>HelenDuffy_HRP</w:t>
      </w:r>
      <w:proofErr w:type="spellEnd"/>
    </w:p>
    <w:sectPr w:rsidR="00B249F2" w:rsidRPr="005416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A003" w14:textId="77777777" w:rsidR="00FE7DA8" w:rsidRDefault="00FE7DA8" w:rsidP="00571014">
      <w:pPr>
        <w:spacing w:after="0" w:line="240" w:lineRule="auto"/>
      </w:pPr>
      <w:r>
        <w:separator/>
      </w:r>
    </w:p>
  </w:endnote>
  <w:endnote w:type="continuationSeparator" w:id="0">
    <w:p w14:paraId="6BFD4A3C" w14:textId="77777777" w:rsidR="00FE7DA8" w:rsidRDefault="00FE7DA8" w:rsidP="0057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2006"/>
      <w:docPartObj>
        <w:docPartGallery w:val="Page Numbers (Bottom of Page)"/>
        <w:docPartUnique/>
      </w:docPartObj>
    </w:sdtPr>
    <w:sdtEndPr/>
    <w:sdtContent>
      <w:p w14:paraId="2BEFA607" w14:textId="77777777" w:rsidR="0097258D" w:rsidRDefault="0097258D">
        <w:pPr>
          <w:pStyle w:val="Footer"/>
          <w:jc w:val="right"/>
        </w:pPr>
        <w:r>
          <w:fldChar w:fldCharType="begin"/>
        </w:r>
        <w:r>
          <w:instrText>PAGE   \* MERGEFORMAT</w:instrText>
        </w:r>
        <w:r>
          <w:fldChar w:fldCharType="separate"/>
        </w:r>
        <w:r w:rsidR="00C1054B">
          <w:rPr>
            <w:noProof/>
          </w:rPr>
          <w:t>4</w:t>
        </w:r>
        <w:r>
          <w:fldChar w:fldCharType="end"/>
        </w:r>
      </w:p>
    </w:sdtContent>
  </w:sdt>
  <w:p w14:paraId="23C1136B" w14:textId="77777777" w:rsidR="0097258D" w:rsidRDefault="0097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AAF2" w14:textId="77777777" w:rsidR="00FE7DA8" w:rsidRDefault="00FE7DA8" w:rsidP="00571014">
      <w:pPr>
        <w:spacing w:after="0" w:line="240" w:lineRule="auto"/>
      </w:pPr>
      <w:r>
        <w:separator/>
      </w:r>
    </w:p>
  </w:footnote>
  <w:footnote w:type="continuationSeparator" w:id="0">
    <w:p w14:paraId="47719978" w14:textId="77777777" w:rsidR="00FE7DA8" w:rsidRDefault="00FE7DA8" w:rsidP="00571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0693C"/>
    <w:multiLevelType w:val="hybridMultilevel"/>
    <w:tmpl w:val="9E9E8B48"/>
    <w:lvl w:ilvl="0" w:tplc="AC56D34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2"/>
    <w:rsid w:val="0001487D"/>
    <w:rsid w:val="000444C3"/>
    <w:rsid w:val="00055521"/>
    <w:rsid w:val="000560E5"/>
    <w:rsid w:val="00066392"/>
    <w:rsid w:val="00071D3F"/>
    <w:rsid w:val="00094681"/>
    <w:rsid w:val="000A018A"/>
    <w:rsid w:val="001435F7"/>
    <w:rsid w:val="00147144"/>
    <w:rsid w:val="00147577"/>
    <w:rsid w:val="001624A7"/>
    <w:rsid w:val="00187C05"/>
    <w:rsid w:val="001D2D36"/>
    <w:rsid w:val="001D7976"/>
    <w:rsid w:val="001D7C9E"/>
    <w:rsid w:val="001E1351"/>
    <w:rsid w:val="001E5FCE"/>
    <w:rsid w:val="001F15AF"/>
    <w:rsid w:val="00232F37"/>
    <w:rsid w:val="00262A9F"/>
    <w:rsid w:val="00272E8D"/>
    <w:rsid w:val="002A0E60"/>
    <w:rsid w:val="002A738F"/>
    <w:rsid w:val="002F2AA7"/>
    <w:rsid w:val="002F7B4D"/>
    <w:rsid w:val="00345D30"/>
    <w:rsid w:val="0036476E"/>
    <w:rsid w:val="00365386"/>
    <w:rsid w:val="003B0340"/>
    <w:rsid w:val="003C1A6B"/>
    <w:rsid w:val="003D568C"/>
    <w:rsid w:val="003F4C34"/>
    <w:rsid w:val="00401144"/>
    <w:rsid w:val="00402A37"/>
    <w:rsid w:val="00416404"/>
    <w:rsid w:val="004306C6"/>
    <w:rsid w:val="004404F8"/>
    <w:rsid w:val="00445B9C"/>
    <w:rsid w:val="00487FF7"/>
    <w:rsid w:val="004C3E1A"/>
    <w:rsid w:val="004C5247"/>
    <w:rsid w:val="004C6351"/>
    <w:rsid w:val="004F3BC1"/>
    <w:rsid w:val="005020C2"/>
    <w:rsid w:val="00507C66"/>
    <w:rsid w:val="005314F3"/>
    <w:rsid w:val="00532B3B"/>
    <w:rsid w:val="00541658"/>
    <w:rsid w:val="00545785"/>
    <w:rsid w:val="00562B09"/>
    <w:rsid w:val="00571014"/>
    <w:rsid w:val="005808A4"/>
    <w:rsid w:val="005B6F59"/>
    <w:rsid w:val="005D4E3D"/>
    <w:rsid w:val="005F0FC0"/>
    <w:rsid w:val="00624982"/>
    <w:rsid w:val="00655582"/>
    <w:rsid w:val="006973BA"/>
    <w:rsid w:val="006A582B"/>
    <w:rsid w:val="006B0D9E"/>
    <w:rsid w:val="006F5B11"/>
    <w:rsid w:val="00700239"/>
    <w:rsid w:val="0070746B"/>
    <w:rsid w:val="0071025E"/>
    <w:rsid w:val="00720FED"/>
    <w:rsid w:val="00732E72"/>
    <w:rsid w:val="007441C0"/>
    <w:rsid w:val="007522C8"/>
    <w:rsid w:val="007F5DE7"/>
    <w:rsid w:val="00827588"/>
    <w:rsid w:val="0083198A"/>
    <w:rsid w:val="00893690"/>
    <w:rsid w:val="008B0335"/>
    <w:rsid w:val="008E44FD"/>
    <w:rsid w:val="009056E3"/>
    <w:rsid w:val="009250AB"/>
    <w:rsid w:val="0097258D"/>
    <w:rsid w:val="009773DA"/>
    <w:rsid w:val="009849C3"/>
    <w:rsid w:val="00991972"/>
    <w:rsid w:val="009F248A"/>
    <w:rsid w:val="00A80BA7"/>
    <w:rsid w:val="00A866FC"/>
    <w:rsid w:val="00AA54A9"/>
    <w:rsid w:val="00AA6593"/>
    <w:rsid w:val="00AB24FA"/>
    <w:rsid w:val="00AD6986"/>
    <w:rsid w:val="00AE2401"/>
    <w:rsid w:val="00AE68B2"/>
    <w:rsid w:val="00B13A57"/>
    <w:rsid w:val="00B249F2"/>
    <w:rsid w:val="00BB680D"/>
    <w:rsid w:val="00BC62D6"/>
    <w:rsid w:val="00BD3BF7"/>
    <w:rsid w:val="00BE61DF"/>
    <w:rsid w:val="00BF5B78"/>
    <w:rsid w:val="00C0456D"/>
    <w:rsid w:val="00C1054B"/>
    <w:rsid w:val="00C3445E"/>
    <w:rsid w:val="00C61FCA"/>
    <w:rsid w:val="00C816F5"/>
    <w:rsid w:val="00C84595"/>
    <w:rsid w:val="00C867DF"/>
    <w:rsid w:val="00CA4DEF"/>
    <w:rsid w:val="00CA6ADF"/>
    <w:rsid w:val="00CE4D38"/>
    <w:rsid w:val="00CE7595"/>
    <w:rsid w:val="00CF00DC"/>
    <w:rsid w:val="00D062FB"/>
    <w:rsid w:val="00D31BDC"/>
    <w:rsid w:val="00D469D1"/>
    <w:rsid w:val="00D67B3F"/>
    <w:rsid w:val="00D73622"/>
    <w:rsid w:val="00D82741"/>
    <w:rsid w:val="00D82BE3"/>
    <w:rsid w:val="00D84350"/>
    <w:rsid w:val="00DF1214"/>
    <w:rsid w:val="00E15177"/>
    <w:rsid w:val="00E5230E"/>
    <w:rsid w:val="00E52C37"/>
    <w:rsid w:val="00E56348"/>
    <w:rsid w:val="00E66CDC"/>
    <w:rsid w:val="00E82C66"/>
    <w:rsid w:val="00E920C4"/>
    <w:rsid w:val="00E97734"/>
    <w:rsid w:val="00EB5604"/>
    <w:rsid w:val="00EE0A31"/>
    <w:rsid w:val="00EE14E1"/>
    <w:rsid w:val="00F20550"/>
    <w:rsid w:val="00F56DC5"/>
    <w:rsid w:val="00F652BB"/>
    <w:rsid w:val="00F707C5"/>
    <w:rsid w:val="00F742A9"/>
    <w:rsid w:val="00FC56E9"/>
    <w:rsid w:val="00FE5F55"/>
    <w:rsid w:val="00FE7DA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849A"/>
  <w15:docId w15:val="{79019337-BFE1-4BE5-ADBB-B76A551F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49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9F2"/>
    <w:rPr>
      <w:rFonts w:ascii="Calibri" w:hAnsi="Calibri"/>
      <w:szCs w:val="21"/>
    </w:rPr>
  </w:style>
  <w:style w:type="paragraph" w:customStyle="1" w:styleId="gmail-msolistparagraph">
    <w:name w:val="gmail-msolistparagraph"/>
    <w:basedOn w:val="Normal"/>
    <w:rsid w:val="00D84350"/>
    <w:pPr>
      <w:spacing w:before="100" w:beforeAutospacing="1" w:after="100" w:afterAutospacing="1" w:line="240" w:lineRule="auto"/>
    </w:pPr>
    <w:rPr>
      <w:rFonts w:ascii="Times New Roman" w:hAnsi="Times New Roman" w:cs="Times New Roman"/>
      <w:sz w:val="24"/>
      <w:szCs w:val="24"/>
      <w:lang w:eastAsia="nl-NL"/>
    </w:rPr>
  </w:style>
  <w:style w:type="paragraph" w:styleId="ListParagraph">
    <w:name w:val="List Paragraph"/>
    <w:basedOn w:val="Normal"/>
    <w:uiPriority w:val="34"/>
    <w:qFormat/>
    <w:rsid w:val="00D84350"/>
    <w:pPr>
      <w:ind w:left="720"/>
      <w:contextualSpacing/>
    </w:pPr>
  </w:style>
  <w:style w:type="paragraph" w:customStyle="1" w:styleId="Default">
    <w:name w:val="Default"/>
    <w:rsid w:val="005020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1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014"/>
  </w:style>
  <w:style w:type="paragraph" w:styleId="Footer">
    <w:name w:val="footer"/>
    <w:basedOn w:val="Normal"/>
    <w:link w:val="FooterChar"/>
    <w:uiPriority w:val="99"/>
    <w:unhideWhenUsed/>
    <w:rsid w:val="00571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014"/>
  </w:style>
  <w:style w:type="paragraph" w:styleId="BalloonText">
    <w:name w:val="Balloon Text"/>
    <w:basedOn w:val="Normal"/>
    <w:link w:val="BalloonTextChar"/>
    <w:uiPriority w:val="99"/>
    <w:semiHidden/>
    <w:unhideWhenUsed/>
    <w:rsid w:val="003C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6B"/>
    <w:rPr>
      <w:rFonts w:ascii="Tahoma" w:hAnsi="Tahoma" w:cs="Tahoma"/>
      <w:sz w:val="16"/>
      <w:szCs w:val="16"/>
    </w:rPr>
  </w:style>
  <w:style w:type="character" w:styleId="CommentReference">
    <w:name w:val="annotation reference"/>
    <w:basedOn w:val="DefaultParagraphFont"/>
    <w:uiPriority w:val="99"/>
    <w:semiHidden/>
    <w:unhideWhenUsed/>
    <w:rsid w:val="005314F3"/>
    <w:rPr>
      <w:sz w:val="18"/>
      <w:szCs w:val="18"/>
    </w:rPr>
  </w:style>
  <w:style w:type="paragraph" w:styleId="CommentText">
    <w:name w:val="annotation text"/>
    <w:basedOn w:val="Normal"/>
    <w:link w:val="CommentTextChar"/>
    <w:uiPriority w:val="99"/>
    <w:semiHidden/>
    <w:unhideWhenUsed/>
    <w:rsid w:val="005314F3"/>
    <w:pPr>
      <w:spacing w:line="240" w:lineRule="auto"/>
    </w:pPr>
    <w:rPr>
      <w:sz w:val="24"/>
      <w:szCs w:val="24"/>
    </w:rPr>
  </w:style>
  <w:style w:type="character" w:customStyle="1" w:styleId="CommentTextChar">
    <w:name w:val="Comment Text Char"/>
    <w:basedOn w:val="DefaultParagraphFont"/>
    <w:link w:val="CommentText"/>
    <w:uiPriority w:val="99"/>
    <w:semiHidden/>
    <w:rsid w:val="005314F3"/>
    <w:rPr>
      <w:sz w:val="24"/>
      <w:szCs w:val="24"/>
    </w:rPr>
  </w:style>
  <w:style w:type="paragraph" w:styleId="CommentSubject">
    <w:name w:val="annotation subject"/>
    <w:basedOn w:val="CommentText"/>
    <w:next w:val="CommentText"/>
    <w:link w:val="CommentSubjectChar"/>
    <w:uiPriority w:val="99"/>
    <w:semiHidden/>
    <w:unhideWhenUsed/>
    <w:rsid w:val="005314F3"/>
    <w:rPr>
      <w:b/>
      <w:bCs/>
      <w:sz w:val="20"/>
      <w:szCs w:val="20"/>
    </w:rPr>
  </w:style>
  <w:style w:type="character" w:customStyle="1" w:styleId="CommentSubjectChar">
    <w:name w:val="Comment Subject Char"/>
    <w:basedOn w:val="CommentTextChar"/>
    <w:link w:val="CommentSubject"/>
    <w:uiPriority w:val="99"/>
    <w:semiHidden/>
    <w:rsid w:val="005314F3"/>
    <w:rPr>
      <w:b/>
      <w:bCs/>
      <w:sz w:val="20"/>
      <w:szCs w:val="20"/>
    </w:rPr>
  </w:style>
  <w:style w:type="paragraph" w:styleId="Revision">
    <w:name w:val="Revision"/>
    <w:hidden/>
    <w:uiPriority w:val="99"/>
    <w:semiHidden/>
    <w:rsid w:val="00AE6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323">
      <w:bodyDiv w:val="1"/>
      <w:marLeft w:val="0"/>
      <w:marRight w:val="0"/>
      <w:marTop w:val="0"/>
      <w:marBottom w:val="0"/>
      <w:divBdr>
        <w:top w:val="none" w:sz="0" w:space="0" w:color="auto"/>
        <w:left w:val="none" w:sz="0" w:space="0" w:color="auto"/>
        <w:bottom w:val="none" w:sz="0" w:space="0" w:color="auto"/>
        <w:right w:val="none" w:sz="0" w:space="0" w:color="auto"/>
      </w:divBdr>
    </w:div>
    <w:div w:id="102648964">
      <w:bodyDiv w:val="1"/>
      <w:marLeft w:val="0"/>
      <w:marRight w:val="0"/>
      <w:marTop w:val="0"/>
      <w:marBottom w:val="0"/>
      <w:divBdr>
        <w:top w:val="none" w:sz="0" w:space="0" w:color="auto"/>
        <w:left w:val="none" w:sz="0" w:space="0" w:color="auto"/>
        <w:bottom w:val="none" w:sz="0" w:space="0" w:color="auto"/>
        <w:right w:val="none" w:sz="0" w:space="0" w:color="auto"/>
      </w:divBdr>
    </w:div>
    <w:div w:id="660814698">
      <w:bodyDiv w:val="1"/>
      <w:marLeft w:val="0"/>
      <w:marRight w:val="0"/>
      <w:marTop w:val="0"/>
      <w:marBottom w:val="0"/>
      <w:divBdr>
        <w:top w:val="none" w:sz="0" w:space="0" w:color="auto"/>
        <w:left w:val="none" w:sz="0" w:space="0" w:color="auto"/>
        <w:bottom w:val="none" w:sz="0" w:space="0" w:color="auto"/>
        <w:right w:val="none" w:sz="0" w:space="0" w:color="auto"/>
      </w:divBdr>
    </w:div>
    <w:div w:id="1907570280">
      <w:bodyDiv w:val="1"/>
      <w:marLeft w:val="0"/>
      <w:marRight w:val="0"/>
      <w:marTop w:val="0"/>
      <w:marBottom w:val="0"/>
      <w:divBdr>
        <w:top w:val="none" w:sz="0" w:space="0" w:color="auto"/>
        <w:left w:val="none" w:sz="0" w:space="0" w:color="auto"/>
        <w:bottom w:val="none" w:sz="0" w:space="0" w:color="auto"/>
        <w:right w:val="none" w:sz="0" w:space="0" w:color="auto"/>
      </w:divBdr>
    </w:div>
    <w:div w:id="2147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en@rightsinprac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H.</dc:creator>
  <cp:lastModifiedBy>Helen Duffy</cp:lastModifiedBy>
  <cp:revision>7</cp:revision>
  <dcterms:created xsi:type="dcterms:W3CDTF">2018-06-02T15:05:00Z</dcterms:created>
  <dcterms:modified xsi:type="dcterms:W3CDTF">2018-06-02T16:43:00Z</dcterms:modified>
</cp:coreProperties>
</file>